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EDED8E" w14:textId="35230E43" w:rsidR="008F7BCB" w:rsidRDefault="008F7BCB" w:rsidP="008F7BCB">
      <w:pPr>
        <w:pStyle w:val="a7"/>
        <w:rPr>
          <w:noProof/>
        </w:rPr>
      </w:pPr>
      <w:r w:rsidRPr="008F7BCB">
        <w:rPr>
          <w:rFonts w:hint="eastAsia"/>
          <w:noProof/>
        </w:rPr>
        <w:t>雜阿含經</w:t>
      </w:r>
    </w:p>
    <w:p w14:paraId="1B8B4882" w14:textId="1CE6FB75" w:rsidR="008F7BCB" w:rsidRDefault="008F7BCB" w:rsidP="008F7BCB">
      <w:pPr>
        <w:pStyle w:val="juan"/>
        <w:spacing w:before="180"/>
        <w:rPr>
          <w:noProof/>
        </w:rPr>
      </w:pPr>
      <w:r w:rsidRPr="008F7BCB">
        <w:rPr>
          <w:rFonts w:hint="eastAsia"/>
          <w:noProof/>
        </w:rPr>
        <w:t>雜阿含經卷第十一</w:t>
      </w:r>
    </w:p>
    <w:p w14:paraId="101A8FCE" w14:textId="6449662F" w:rsidR="008F7BCB" w:rsidRDefault="008F7BCB" w:rsidP="008F7BCB">
      <w:pPr>
        <w:pStyle w:val="byline"/>
        <w:rPr>
          <w:noProof/>
        </w:rPr>
      </w:pPr>
      <w:r w:rsidRPr="008F7BCB">
        <w:rPr>
          <w:rFonts w:hint="eastAsia"/>
          <w:noProof/>
        </w:rPr>
        <w:t>宋天竺三藏求那跋陀羅譯</w:t>
      </w:r>
    </w:p>
    <w:p w14:paraId="2C170781" w14:textId="6EE1F921" w:rsidR="008F7BCB" w:rsidRDefault="008F7BCB" w:rsidP="008F7BCB">
      <w:pPr>
        <w:pStyle w:val="2"/>
        <w:rPr>
          <w:noProof/>
        </w:rPr>
      </w:pPr>
      <w:r w:rsidRPr="008F7BCB">
        <w:rPr>
          <w:rFonts w:hint="eastAsia"/>
          <w:noProof/>
        </w:rPr>
        <w:t>（二七三）</w:t>
      </w:r>
    </w:p>
    <w:p w14:paraId="79DB1434" w14:textId="6E1F61F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5B1362A0" w14:textId="44FD5D9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229A9410" w14:textId="46FCAAF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時，有</w:t>
      </w:r>
      <w:r w:rsidRPr="008F7BCB">
        <w:rPr>
          <w:rStyle w:val="af4"/>
          <w:noProof/>
        </w:rPr>
        <w:footnoteReference w:id="1"/>
      </w:r>
      <w:r w:rsidRPr="008F7BCB">
        <w:rPr>
          <w:rFonts w:hint="eastAsia"/>
          <w:noProof/>
        </w:rPr>
        <w:t>異比丘獨靜思惟：「云何為我？我何所為？何等是我？我何所住？」從禪覺已，往詣佛所，稽首禮足，退住一面，白佛言：「世尊！我獨一靜處，作是思惟：『云何為我？我何所為？何法是我？我於何住？』」</w:t>
      </w:r>
    </w:p>
    <w:p w14:paraId="02610C26" w14:textId="6636E31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比丘：「今當為汝說於二法。諦聽，善思，云何為二？眼色為二。耳聲、鼻香、舌味、身觸、意法為二，是名二法。比丘！若有說言：『沙門瞿曇所說二法，此非為二，我今捨此，更立二法。』彼但有言數，問已不知，增其疑惑，以非境界故。所以者何？緣眼、色，生眼識。</w:t>
      </w:r>
    </w:p>
    <w:p w14:paraId="04A5843E" w14:textId="62B41AF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「比丘！彼眼者，是肉形、是</w:t>
      </w:r>
      <w:r w:rsidRPr="008F7BCB">
        <w:rPr>
          <w:rStyle w:val="af4"/>
          <w:noProof/>
        </w:rPr>
        <w:footnoteReference w:id="2"/>
      </w:r>
      <w:r w:rsidRPr="008F7BCB">
        <w:rPr>
          <w:rFonts w:hint="eastAsia"/>
          <w:noProof/>
        </w:rPr>
        <w:t>內、是因緣、是堅、是受，是名眼肉形內地界。比丘！若眼肉形，若內、若因緣、津澤、是受，是名眼肉形內水界。比丘！若彼眼肉形，若內、若因緣、明暖、是受，是名眼肉形內火界。比丘！若彼眼肉形，若內、若因緣、輕飄動搖、是受，是名眼肉形內風界。</w:t>
      </w:r>
    </w:p>
    <w:p w14:paraId="7128F414" w14:textId="327B557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「比丘！譬如兩手和合相對作聲。如是緣眼、色，生眼識，三事和合觸，觸俱生受、想、思。此等諸法非我、非常，是無常之我，非恒、非安隱、變易之我。所以者何？比丘！謂生、老、死、沒、受生之法。</w:t>
      </w:r>
    </w:p>
    <w:p w14:paraId="556972EE" w14:textId="408B7B7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「比丘！諸行如幻、如炎，剎那時頃盡朽，不實來實去。是故，比丘！於空諸行當知、當喜、當念：『空諸行常、恒、住、不變易法空，無我、我所。』譬如明目士夫，手執明燈，入於空室，彼空室觀察。</w:t>
      </w:r>
    </w:p>
    <w:p w14:paraId="7774A7E8" w14:textId="420D7DD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「如是，比丘！於一切空行，</w:t>
      </w:r>
      <w:r w:rsidRPr="008F7BCB">
        <w:rPr>
          <w:rStyle w:val="af4"/>
          <w:noProof/>
        </w:rPr>
        <w:footnoteReference w:id="3"/>
      </w:r>
      <w:r w:rsidRPr="008F7BCB">
        <w:rPr>
          <w:rFonts w:hint="eastAsia"/>
          <w:noProof/>
        </w:rPr>
        <w:t>心觀察歡喜，於空法行，常、恒、住、不變易法，空我、我所。如眼，耳、鼻、舌、身、意法因緣生意識，三事和合觸，觸俱生受、想、思，此諸法無我、無常，乃至空我、我所。比丘！於意云何？眼是常、為非常耶？」</w:t>
      </w:r>
    </w:p>
    <w:p w14:paraId="42E83CE6" w14:textId="1AA2997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答言：「非常。世尊！」</w:t>
      </w:r>
    </w:p>
    <w:p w14:paraId="4714E0C3" w14:textId="6AE6790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復問：「若無常者，是苦耶？」</w:t>
      </w:r>
    </w:p>
    <w:p w14:paraId="111BE96B" w14:textId="26BE7CC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答言：「是苦。世尊！」</w:t>
      </w:r>
    </w:p>
    <w:p w14:paraId="6FEBDF76" w14:textId="74C5B9C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復問：「若無常、苦，是變易法，多聞聖弟子寧於中見我、異我、相在不？」</w:t>
      </w:r>
    </w:p>
    <w:p w14:paraId="23762229" w14:textId="6074FF2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答言：「不也，世尊！」</w:t>
      </w:r>
    </w:p>
    <w:p w14:paraId="79976892" w14:textId="036E532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「耳、鼻、舌、身、意亦復如是。如是多聞聖弟子於眼生厭，厭故不樂，不樂故解脫，解脫知見：『我生已盡，梵行已立，所作已作，自知不受後有。』耳、鼻、舌、身、意亦復如是。」</w:t>
      </w:r>
    </w:p>
    <w:p w14:paraId="6F6B93B7" w14:textId="3A7948B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時，彼比丘聞世尊說合手聲譬經教已，獨一靜處，專精思惟，不放逸住，乃至自知不受後有。成阿羅漢。</w:t>
      </w:r>
    </w:p>
    <w:p w14:paraId="191D2803" w14:textId="59E7D293" w:rsidR="008F7BCB" w:rsidRDefault="008F7BCB" w:rsidP="008F7BCB">
      <w:pPr>
        <w:pStyle w:val="2"/>
        <w:rPr>
          <w:noProof/>
        </w:rPr>
      </w:pPr>
      <w:r w:rsidRPr="008F7BCB">
        <w:rPr>
          <w:rFonts w:hint="eastAsia"/>
          <w:noProof/>
        </w:rPr>
        <w:t>（二七四）</w:t>
      </w:r>
    </w:p>
    <w:p w14:paraId="6B179012" w14:textId="2D86246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7223167B" w14:textId="0E3026F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0E5EA81C" w14:textId="6853A28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爾時，世尊告諸比丘：「非汝有者，</w:t>
      </w:r>
      <w:r w:rsidRPr="008F7BCB">
        <w:rPr>
          <w:rStyle w:val="af4"/>
          <w:noProof/>
        </w:rPr>
        <w:footnoteReference w:id="4"/>
      </w:r>
      <w:r w:rsidRPr="008F7BCB">
        <w:rPr>
          <w:rFonts w:hint="eastAsia"/>
          <w:noProof/>
        </w:rPr>
        <w:t>當棄捨，捨彼法已，長夜安樂。諸比丘！於意云何？於此祇桓中，諸草木枝葉，有人持去，汝等頗有念言：『此諸物是我所，彼人何故輒持去？』」</w:t>
      </w:r>
    </w:p>
    <w:p w14:paraId="44165525" w14:textId="6B8E015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答言：「不也，世尊！」</w:t>
      </w:r>
    </w:p>
    <w:p w14:paraId="503D90B1" w14:textId="41D6FFB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「所以者何？彼亦非我、非我所故，汝諸比丘亦復如是。於非所有物當盡棄捨，</w:t>
      </w:r>
      <w:r w:rsidRPr="008F7BCB">
        <w:rPr>
          <w:rStyle w:val="af4"/>
          <w:noProof/>
        </w:rPr>
        <w:footnoteReference w:id="5"/>
      </w:r>
      <w:r w:rsidRPr="008F7BCB">
        <w:rPr>
          <w:rFonts w:hint="eastAsia"/>
          <w:noProof/>
        </w:rPr>
        <w:t>棄捨彼法已，長夜安樂。何等為非汝所有？謂眼，眼非汝所有，彼應棄捨，捨彼法已，長夜安樂。耳、鼻、舌、身、意亦復如是。云何？比丘！眼是常耶？為非常耶？」</w:t>
      </w:r>
    </w:p>
    <w:p w14:paraId="1FC9B2F4" w14:textId="701DBCE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答言：「無常。」</w:t>
      </w:r>
    </w:p>
    <w:p w14:paraId="3AE2B076" w14:textId="3FE5533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世尊復問：「若無常者，是苦耶？」</w:t>
      </w:r>
    </w:p>
    <w:p w14:paraId="32CEB2CE" w14:textId="5BB763A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答言：「是苦。世尊！」</w:t>
      </w:r>
    </w:p>
    <w:p w14:paraId="65BC94B6" w14:textId="2576568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復問：「若無常、苦者，是變易法，多聞聖弟子寧於中見我、異我、相在不？」</w:t>
      </w:r>
    </w:p>
    <w:p w14:paraId="192FCD47" w14:textId="47E3667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答言：「不也，世尊！」</w:t>
      </w:r>
    </w:p>
    <w:p w14:paraId="0D1C69BD" w14:textId="79DEDE1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「耳、鼻、舌、身、意亦復如是。多聞聖弟子於此六入處觀察非我、非我所，觀察已，於諸世間都無所取，無所取故無所著，無所著故自覺涅槃：『我生已盡，梵行已立，所作已作，自知不受</w:t>
      </w:r>
      <w:r w:rsidRPr="008F7BCB">
        <w:rPr>
          <w:rStyle w:val="af4"/>
          <w:noProof/>
        </w:rPr>
        <w:footnoteReference w:id="6"/>
      </w:r>
      <w:r>
        <w:rPr>
          <w:rStyle w:val="corr"/>
          <w:rFonts w:hint="eastAsia"/>
          <w:noProof/>
        </w:rPr>
        <w:t>後</w:t>
      </w:r>
      <w:r w:rsidRPr="008F7BCB">
        <w:rPr>
          <w:rFonts w:hint="eastAsia"/>
          <w:noProof/>
        </w:rPr>
        <w:t>有。』」</w:t>
      </w:r>
    </w:p>
    <w:p w14:paraId="360D0950" w14:textId="75FBD42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7737CD73" w14:textId="5907B3DD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7"/>
      </w:r>
      <w:r w:rsidRPr="008F7BCB">
        <w:rPr>
          <w:rFonts w:hint="eastAsia"/>
          <w:noProof/>
        </w:rPr>
        <w:t>（二七五）</w:t>
      </w:r>
    </w:p>
    <w:p w14:paraId="34719B57" w14:textId="178C065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705212A6" w14:textId="71DB33E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</w:t>
      </w:r>
      <w:r w:rsidRPr="008F7BCB">
        <w:rPr>
          <w:rStyle w:val="af4"/>
          <w:noProof/>
        </w:rPr>
        <w:footnoteReference w:id="8"/>
      </w:r>
      <w:r w:rsidRPr="008F7BCB">
        <w:rPr>
          <w:rFonts w:hint="eastAsia"/>
          <w:noProof/>
        </w:rPr>
        <w:t>住舍衛國祇樹給孤獨園。</w:t>
      </w:r>
    </w:p>
    <w:p w14:paraId="470E95A7" w14:textId="0162328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爾時，世尊告諸比丘：「其有說言</w:t>
      </w:r>
      <w:r w:rsidRPr="008F7BCB">
        <w:rPr>
          <w:rStyle w:val="af4"/>
          <w:noProof/>
        </w:rPr>
        <w:footnoteReference w:id="9"/>
      </w:r>
      <w:r w:rsidRPr="008F7BCB">
        <w:rPr>
          <w:rFonts w:hint="eastAsia"/>
          <w:noProof/>
        </w:rPr>
        <w:t>大力者，其唯難陀！此是正說。其有說言最端</w:t>
      </w:r>
      <w:r w:rsidRPr="008F7BCB">
        <w:rPr>
          <w:rStyle w:val="af4"/>
          <w:noProof/>
        </w:rPr>
        <w:footnoteReference w:id="10"/>
      </w:r>
      <w:r w:rsidRPr="008F7BCB">
        <w:rPr>
          <w:rFonts w:hint="eastAsia"/>
          <w:noProof/>
        </w:rPr>
        <w:t>政者，其唯難陀！是則正說。其有說言愛欲重者，其唯難陀！是則正說。</w:t>
      </w:r>
    </w:p>
    <w:p w14:paraId="63FE1C91" w14:textId="2F384AC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「諸比丘！而今難陀關閉根門，飲食知量，初夜、後夜精勤修習，正智成就，堪能盡壽純一滿淨，梵行清白。彼難陀比丘關閉根門故，若眼見色，不取色相，不取隨形好。若諸眼根增不律儀、無明闇障、世間貪、</w:t>
      </w:r>
      <w:r w:rsidRPr="008F7BCB">
        <w:rPr>
          <w:rStyle w:val="af4"/>
          <w:noProof/>
        </w:rPr>
        <w:footnoteReference w:id="11"/>
      </w:r>
      <w:r w:rsidRPr="008F7BCB">
        <w:rPr>
          <w:rFonts w:hint="eastAsia"/>
          <w:noProof/>
        </w:rPr>
        <w:t>愛、惡不善法不漏其心，生諸律儀；防護於眼、耳、鼻、舌、身、意根，生諸律儀，是名難陀比丘關閉根門。</w:t>
      </w:r>
    </w:p>
    <w:p w14:paraId="5C51929B" w14:textId="1D991B1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「飲食知量者，難陀比丘於食繫數：『不自高、不放逸、不著色、不著莊嚴，支身而已。任其所得，為止飢渴，修梵行故。故起苦覺令息</w:t>
      </w:r>
      <w:r w:rsidRPr="008F7BCB">
        <w:rPr>
          <w:rStyle w:val="af4"/>
          <w:noProof/>
        </w:rPr>
        <w:footnoteReference w:id="12"/>
      </w:r>
      <w:r w:rsidRPr="008F7BCB">
        <w:rPr>
          <w:rFonts w:hint="eastAsia"/>
          <w:noProof/>
        </w:rPr>
        <w:t>滅，未起苦覺令</w:t>
      </w:r>
      <w:r w:rsidRPr="008F7BCB">
        <w:rPr>
          <w:rFonts w:hint="eastAsia"/>
          <w:noProof/>
        </w:rPr>
        <w:lastRenderedPageBreak/>
        <w:t>不起故，成其崇向故。氣力安樂，無</w:t>
      </w:r>
      <w:r w:rsidRPr="008F7BCB">
        <w:rPr>
          <w:rStyle w:val="af4"/>
          <w:noProof/>
        </w:rPr>
        <w:footnoteReference w:id="13"/>
      </w:r>
      <w:r>
        <w:rPr>
          <w:rStyle w:val="corr"/>
          <w:rFonts w:hint="eastAsia"/>
          <w:noProof/>
        </w:rPr>
        <w:t>罪</w:t>
      </w:r>
      <w:r w:rsidRPr="008F7BCB">
        <w:rPr>
          <w:rStyle w:val="af4"/>
          <w:noProof/>
        </w:rPr>
        <w:footnoteReference w:id="14"/>
      </w:r>
      <w:r>
        <w:rPr>
          <w:rStyle w:val="corr"/>
          <w:rFonts w:hint="eastAsia"/>
          <w:noProof/>
        </w:rPr>
        <w:t>觸</w:t>
      </w:r>
      <w:r w:rsidRPr="008F7BCB">
        <w:rPr>
          <w:rFonts w:hint="eastAsia"/>
          <w:noProof/>
        </w:rPr>
        <w:t>住故。如人乘車，塗以膏油，不為自高，乃至莊嚴，為載運故。又如塗瘡，不貪其味，為息苦故。』如是，善男子難陀知量而食，乃至無</w:t>
      </w:r>
      <w:r w:rsidRPr="008F7BCB">
        <w:rPr>
          <w:rStyle w:val="af4"/>
          <w:noProof/>
        </w:rPr>
        <w:footnoteReference w:id="15"/>
      </w:r>
      <w:r>
        <w:rPr>
          <w:rStyle w:val="corr"/>
          <w:rFonts w:hint="eastAsia"/>
          <w:noProof/>
        </w:rPr>
        <w:t>罪</w:t>
      </w:r>
      <w:r w:rsidRPr="008F7BCB">
        <w:rPr>
          <w:rStyle w:val="af4"/>
          <w:noProof/>
        </w:rPr>
        <w:footnoteReference w:id="16"/>
      </w:r>
      <w:r>
        <w:rPr>
          <w:rStyle w:val="corr"/>
          <w:rFonts w:hint="eastAsia"/>
          <w:noProof/>
        </w:rPr>
        <w:t>觸</w:t>
      </w:r>
      <w:r w:rsidRPr="008F7BCB">
        <w:rPr>
          <w:rFonts w:hint="eastAsia"/>
          <w:noProof/>
        </w:rPr>
        <w:t>住，是名難陀知量而食。</w:t>
      </w:r>
    </w:p>
    <w:p w14:paraId="2323ECF6" w14:textId="15B2320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「彼善男子難陀初夜、後夜精勤修業者，彼難陀晝則經行、坐禪，除去陰障，以淨其身。於初夜時，經行、坐禪，除去陰障，以淨其身。於中夜時，房外洗足，入於室中，右脇而臥，屈膝累足，</w:t>
      </w:r>
      <w:r w:rsidRPr="008F7BCB">
        <w:rPr>
          <w:rStyle w:val="af4"/>
          <w:noProof/>
        </w:rPr>
        <w:footnoteReference w:id="17"/>
      </w:r>
      <w:r w:rsidRPr="008F7BCB">
        <w:rPr>
          <w:rFonts w:hint="eastAsia"/>
          <w:noProof/>
        </w:rPr>
        <w:t>係念明</w:t>
      </w:r>
      <w:r w:rsidRPr="008F7BCB">
        <w:rPr>
          <w:rStyle w:val="af4"/>
          <w:noProof/>
        </w:rPr>
        <w:footnoteReference w:id="18"/>
      </w:r>
      <w:r>
        <w:rPr>
          <w:rStyle w:val="corr"/>
          <w:rFonts w:hint="eastAsia"/>
          <w:noProof/>
        </w:rPr>
        <w:t>相</w:t>
      </w:r>
      <w:r w:rsidRPr="008F7BCB">
        <w:rPr>
          <w:rFonts w:hint="eastAsia"/>
          <w:noProof/>
        </w:rPr>
        <w:t>，作起覺想。於後夜時，徐覺徐起，經行、坐禪，是名善男子難陀初夜、後夜精勤修</w:t>
      </w:r>
      <w:r w:rsidRPr="008F7BCB">
        <w:rPr>
          <w:rStyle w:val="af4"/>
          <w:noProof/>
        </w:rPr>
        <w:footnoteReference w:id="19"/>
      </w:r>
      <w:r>
        <w:rPr>
          <w:rStyle w:val="corr"/>
          <w:rFonts w:hint="eastAsia"/>
          <w:noProof/>
        </w:rPr>
        <w:t>習</w:t>
      </w:r>
      <w:r w:rsidRPr="008F7BCB">
        <w:rPr>
          <w:rFonts w:hint="eastAsia"/>
          <w:noProof/>
        </w:rPr>
        <w:t>。</w:t>
      </w:r>
    </w:p>
    <w:p w14:paraId="2D342034" w14:textId="70368D8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「彼善男子難陀勝念正知者，是善男子難陀觀察東方，一心正念，安住觀察；觀察南、西、北方，亦復如是。一心正念，安住觀察。如是觀者，世間貪、</w:t>
      </w:r>
      <w:r w:rsidRPr="008F7BCB">
        <w:rPr>
          <w:rStyle w:val="af4"/>
          <w:noProof/>
        </w:rPr>
        <w:footnoteReference w:id="20"/>
      </w:r>
      <w:r w:rsidRPr="008F7BCB">
        <w:rPr>
          <w:rFonts w:hint="eastAsia"/>
          <w:noProof/>
        </w:rPr>
        <w:t>愛、惡不善法不漏其心。彼善男子難陀覺諸受起，覺諸受住，覺諸受滅，正念而住，不令散亂；覺諸想起，覺諸想住，覺諸想滅，覺諸覺起，覺諸覺住，覺諸覺滅，正念</w:t>
      </w:r>
      <w:r w:rsidRPr="008F7BCB">
        <w:rPr>
          <w:rStyle w:val="af4"/>
          <w:noProof/>
        </w:rPr>
        <w:footnoteReference w:id="21"/>
      </w:r>
      <w:r>
        <w:rPr>
          <w:rStyle w:val="corr"/>
          <w:rFonts w:hint="eastAsia"/>
          <w:noProof/>
        </w:rPr>
        <w:t>而</w:t>
      </w:r>
      <w:r w:rsidRPr="008F7BCB">
        <w:rPr>
          <w:rFonts w:hint="eastAsia"/>
          <w:noProof/>
        </w:rPr>
        <w:t>住，不令散亂，是名善男子難陀正念正智成就。</w:t>
      </w:r>
    </w:p>
    <w:p w14:paraId="13968E12" w14:textId="77E1293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「是故，諸比丘！當作是學：『關閉根門，如善男子難陀；飲食知量，如善男子難陀；初夜、後夜精勤修業，如善男子難陀；正念正智成就，如善男子難陀。』如教授難陀法，亦當持是為其餘人說。」</w:t>
      </w:r>
    </w:p>
    <w:p w14:paraId="0517BBDC" w14:textId="13F7BE4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時，有異比丘而說偈言：</w:t>
      </w:r>
    </w:p>
    <w:p w14:paraId="4ABD6B0E" w14:textId="6BB450FD" w:rsidR="008F7BCB" w:rsidRDefault="008F7BCB" w:rsidP="008F7BCB">
      <w:pPr>
        <w:pStyle w:val="lg"/>
        <w:spacing w:before="180"/>
        <w:ind w:left="240" w:hangingChars="100" w:hanging="240"/>
        <w:rPr>
          <w:noProof/>
        </w:rPr>
      </w:pPr>
      <w:r w:rsidRPr="008F7BCB">
        <w:rPr>
          <w:rFonts w:hint="eastAsia"/>
          <w:noProof/>
        </w:rPr>
        <w:t>「善關閉根門，　　正念攝心住，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飲食知節量，　　覺知諸心相，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善男子難陀，　　世尊之所歎。」</w:t>
      </w:r>
    </w:p>
    <w:p w14:paraId="29A9EA62" w14:textId="5048F95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568FDECF" w14:textId="1A919123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22"/>
      </w:r>
      <w:r w:rsidRPr="008F7BCB">
        <w:rPr>
          <w:rFonts w:hint="eastAsia"/>
          <w:noProof/>
        </w:rPr>
        <w:t>（二七六）</w:t>
      </w:r>
    </w:p>
    <w:p w14:paraId="62AF1F07" w14:textId="5D79B71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6A4C2869" w14:textId="2171E33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696AB0E8" w14:textId="2926AA7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爾時，有如是像類大聲聞尼眾住舍衛國王園中。比丘尼眾其名曰：純陀比丘尼、民陀比丘尼、摩羅婆比丘尼、波羅遮羅比丘尼、</w:t>
      </w:r>
      <w:r w:rsidRPr="008F7BCB">
        <w:rPr>
          <w:rStyle w:val="af4"/>
          <w:noProof/>
        </w:rPr>
        <w:footnoteReference w:id="23"/>
      </w:r>
      <w:r>
        <w:rPr>
          <w:rStyle w:val="corr"/>
          <w:rFonts w:hint="eastAsia"/>
          <w:noProof/>
        </w:rPr>
        <w:t>阿</w:t>
      </w:r>
      <w:r w:rsidRPr="008F7BCB">
        <w:rPr>
          <w:rFonts w:hint="eastAsia"/>
          <w:noProof/>
        </w:rPr>
        <w:t>羅毘迦比丘尼、差摩比丘尼、難摩比丘尼、</w:t>
      </w:r>
      <w:r w:rsidRPr="008F7BCB">
        <w:rPr>
          <w:rStyle w:val="af4"/>
          <w:noProof/>
        </w:rPr>
        <w:footnoteReference w:id="24"/>
      </w:r>
      <w:r>
        <w:rPr>
          <w:rStyle w:val="corr"/>
          <w:rFonts w:hint="eastAsia"/>
          <w:noProof/>
        </w:rPr>
        <w:t>吉離</w:t>
      </w:r>
      <w:r w:rsidRPr="008F7BCB">
        <w:rPr>
          <w:rFonts w:hint="eastAsia"/>
          <w:noProof/>
        </w:rPr>
        <w:t>舍瞿曇彌比丘尼、優鉢羅色比丘尼、</w:t>
      </w:r>
      <w:r w:rsidRPr="008F7BCB">
        <w:rPr>
          <w:rStyle w:val="af4"/>
          <w:noProof/>
        </w:rPr>
        <w:footnoteReference w:id="25"/>
      </w:r>
      <w:r w:rsidRPr="008F7BCB">
        <w:rPr>
          <w:rFonts w:hint="eastAsia"/>
          <w:noProof/>
        </w:rPr>
        <w:t>摩訶波闍波提比丘尼，此等及餘比丘尼住王園中。</w:t>
      </w:r>
    </w:p>
    <w:p w14:paraId="035D82A0" w14:textId="4B66903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摩訶波闍波提比丘尼與五百比丘尼前後圍遶，來詣佛所，稽首禮足，退坐一面。爾時，世尊為摩訶波闍波提比丘尼說法，示、教、照、喜；種種說法，示、教、照、喜已，發遣令還。言：「比丘尼！應時宜去。」</w:t>
      </w:r>
    </w:p>
    <w:p w14:paraId="31A047B1" w14:textId="38B85B6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摩訶波闍波提比丘尼聞佛所說，歡喜隨喜，作禮而去。</w:t>
      </w:r>
    </w:p>
    <w:p w14:paraId="07B4EF59" w14:textId="1397B08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爾時，世尊知摩訶波闍波提比丘尼去已，告諸比丘：「我年已老</w:t>
      </w:r>
      <w:r w:rsidRPr="008F7BCB">
        <w:rPr>
          <w:rStyle w:val="af4"/>
          <w:noProof/>
        </w:rPr>
        <w:footnoteReference w:id="26"/>
      </w:r>
      <w:r w:rsidRPr="008F7BCB">
        <w:rPr>
          <w:rFonts w:hint="eastAsia"/>
          <w:noProof/>
        </w:rPr>
        <w:t>邁，不復堪能為諸比丘尼說法，汝等諸比丘僧，今日諸宿德上座，當教授諸比丘尼。」</w:t>
      </w:r>
    </w:p>
    <w:p w14:paraId="4F1384D5" w14:textId="3D5BD54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時，諸比丘受世尊教，次第教授比丘尼，次至</w:t>
      </w:r>
      <w:r w:rsidRPr="008F7BCB">
        <w:rPr>
          <w:rStyle w:val="af4"/>
          <w:noProof/>
        </w:rPr>
        <w:footnoteReference w:id="27"/>
      </w:r>
      <w:r w:rsidRPr="008F7BCB">
        <w:rPr>
          <w:rFonts w:hint="eastAsia"/>
          <w:noProof/>
        </w:rPr>
        <w:t>難陀。爾時，難陀次第應至而不欲教授。</w:t>
      </w:r>
    </w:p>
    <w:p w14:paraId="34012915" w14:textId="0712D5E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爾時，摩訶波闍波提比丘尼與五百比丘尼前後圍遶，詣世尊所，稽首禮足，乃至聞法，歡喜隨喜，作禮而去。</w:t>
      </w:r>
    </w:p>
    <w:p w14:paraId="00C8D639" w14:textId="78A493B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爾時，世尊知摩訶波闍波提比丘尼去已，問尊者阿難：「誰應次至教授諸比丘尼？」</w:t>
      </w:r>
    </w:p>
    <w:p w14:paraId="5BF6BADA" w14:textId="5CC4F34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尊者阿難白佛言：「世尊！諸上座次第教授比丘尼，次至難陀，而難陀不欲教授。」</w:t>
      </w:r>
    </w:p>
    <w:p w14:paraId="60736956" w14:textId="0AB501F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爾時，世尊告難陀言：「汝當教授諸比丘尼，為諸比丘尼說法。所以者何？我自教授比丘尼，汝亦應爾；我為比丘尼說法，汝亦應爾。」</w:t>
      </w:r>
    </w:p>
    <w:p w14:paraId="63DC6EA0" w14:textId="5D195C8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爾時，難陀默然受教。</w:t>
      </w:r>
    </w:p>
    <w:p w14:paraId="6EA71104" w14:textId="30FEEA2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時，難陀夜過晨朝，著衣持鉢，入舍衛城乞食。食已，還精舍，舉衣鉢，洗足已，入室坐禪。從禪覺，著僧伽</w:t>
      </w:r>
      <w:r w:rsidRPr="008F7BCB">
        <w:rPr>
          <w:rStyle w:val="af4"/>
          <w:noProof/>
        </w:rPr>
        <w:footnoteReference w:id="28"/>
      </w:r>
      <w:r w:rsidRPr="008F7BCB">
        <w:rPr>
          <w:rFonts w:hint="eastAsia"/>
          <w:noProof/>
        </w:rPr>
        <w:t>梨將一比丘往詣王園，諸比丘尼遙見尊者難陀來，疾敷床座，請令就</w:t>
      </w:r>
      <w:r w:rsidRPr="008F7BCB">
        <w:rPr>
          <w:rStyle w:val="af4"/>
          <w:noProof/>
        </w:rPr>
        <w:footnoteReference w:id="29"/>
      </w:r>
      <w:r w:rsidRPr="008F7BCB">
        <w:rPr>
          <w:rFonts w:hint="eastAsia"/>
          <w:noProof/>
        </w:rPr>
        <w:t>坐，尊者難陀坐已，諸比丘尼稽首敬禮，退坐一面。尊者難陀語諸比丘尼：「諸姊妹！汝等當問我，今當為汝等說法。汝等解</w:t>
      </w:r>
      <w:r w:rsidRPr="008F7BCB">
        <w:rPr>
          <w:rFonts w:hint="eastAsia"/>
          <w:noProof/>
        </w:rPr>
        <w:lastRenderedPageBreak/>
        <w:t>者，當說言解；若不解者，當說不解。於我所說義，若當解者，當善受持；若不解者，汝當更問，當為汝說。」</w:t>
      </w:r>
    </w:p>
    <w:p w14:paraId="7ED001FB" w14:textId="3E68B3F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諸比丘尼白尊者難陀言：「我等今日聞尊者教，令我等問，告我等言：『汝等若未解者，今悉當問；已解者當言解，未解者當言不解。於我所說義，已解者當奉持，未解者當復更問。』我等聞此，心大歡喜，未解義者，今日當問。」</w:t>
      </w:r>
    </w:p>
    <w:p w14:paraId="42B93E70" w14:textId="51CD5C4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爾時，尊者難陀告諸比丘尼：「云何？姊妹！於眼內入處觀察，是我、異我、相在不？」</w:t>
      </w:r>
    </w:p>
    <w:p w14:paraId="5DF46BAC" w14:textId="4E5AF80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7819F010" w14:textId="12EACAC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「耳、鼻、舌、身、意內入處觀察，是我、異我、相在不？」</w:t>
      </w:r>
    </w:p>
    <w:p w14:paraId="1C6130EA" w14:textId="5472667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答言：「不也，尊者難陀！所以者何？尊者難陀！我等已曾於此法如實知見，於六內入處觀察無我，我等已曾作如是意解：『六內入處無我。』」</w:t>
      </w:r>
    </w:p>
    <w:p w14:paraId="62E8245B" w14:textId="43D2078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尊者難陀告諸比丘尼：「善哉！善哉！姊妹！應如是解：『六內入處觀察無我。』諸比丘尼！色外入處是我、異我、相在不？」</w:t>
      </w:r>
    </w:p>
    <w:p w14:paraId="7B46F91D" w14:textId="6B786CA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76EE31BF" w14:textId="05ED715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「聲、香、味、觸、法外入處，是我、異我、相在不？」</w:t>
      </w:r>
    </w:p>
    <w:p w14:paraId="13A21C5D" w14:textId="0121669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答言：「不也，尊者難陀！所以者何？尊者難陀！我已曾於六外入處如實觀察無我，我常作此意解，六外入處如實無我。」</w:t>
      </w:r>
    </w:p>
    <w:p w14:paraId="5C3A008E" w14:textId="7969050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尊者難陀讚諸比丘尼：「善哉！善哉！汝於此義應如是觀：『六外入處無我。』若緣眼、色，生眼識，彼眼識是我、異我、相在不？」</w:t>
      </w:r>
    </w:p>
    <w:p w14:paraId="5B3E14B9" w14:textId="4CF3699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3ECE3597" w14:textId="3125945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「耳、鼻、舌、身、意法緣生意識，彼意識是我、異我、相在不？」</w:t>
      </w:r>
    </w:p>
    <w:p w14:paraId="0D38A5FC" w14:textId="09B90EC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答言：「不也，尊者難陀！所以者何？我已曾於此六識身如實觀察無我，我亦常作是意解，六識身如實無我。」</w:t>
      </w:r>
    </w:p>
    <w:p w14:paraId="30397458" w14:textId="1B787FC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尊者難陀告諸比丘尼：「善哉！善哉！姊妹！汝於此義應如是觀察：『六識身如實無我。』緣眼、色，生眼識，三事和合生觸，彼觸是我、異我、相在不？」</w:t>
      </w:r>
    </w:p>
    <w:p w14:paraId="5676AA18" w14:textId="78C9969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65C93C9D" w14:textId="68A3987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「耳、鼻、舌、身、意法緣生意識，三事和合生觸，彼觸是我、異我、相在不？」</w:t>
      </w:r>
    </w:p>
    <w:p w14:paraId="1C15D622" w14:textId="671C02B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答言：「不也，尊者難陀！所以者何？我已曾於此六觸觀察如實無我，我亦常如是意解，六觸如實無我。」</w:t>
      </w:r>
    </w:p>
    <w:p w14:paraId="51E921F6" w14:textId="389FF96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尊者難陀告諸比丘尼：「善哉！善哉！當如實觀察：『於六觸身如實無我。』緣眼、色，生眼</w:t>
      </w:r>
      <w:r w:rsidRPr="008F7BCB">
        <w:rPr>
          <w:rStyle w:val="af4"/>
          <w:noProof/>
        </w:rPr>
        <w:footnoteReference w:id="30"/>
      </w:r>
      <w:r>
        <w:rPr>
          <w:rStyle w:val="corr"/>
          <w:rFonts w:hint="eastAsia"/>
          <w:noProof/>
        </w:rPr>
        <w:t>識</w:t>
      </w:r>
      <w:r w:rsidRPr="008F7BCB">
        <w:rPr>
          <w:rFonts w:hint="eastAsia"/>
          <w:noProof/>
        </w:rPr>
        <w:t>，三事和合觸，觸緣受，彼觸緣受是我、異我、相在不？」</w:t>
      </w:r>
    </w:p>
    <w:p w14:paraId="66A61B34" w14:textId="6C2F814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79F2D340" w14:textId="757EE4E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「耳、鼻、舌、身、意法緣生意識，三事和合觸，觸緣受，彼受是我、異我、相在不？」</w:t>
      </w:r>
    </w:p>
    <w:p w14:paraId="706A2C93" w14:textId="2020F5B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答言：「不也，尊者難陀！所以者何？我等曾於此六受身如實觀察無我，我亦常作此意解，六受身如實無我。」</w:t>
      </w:r>
    </w:p>
    <w:p w14:paraId="48F91889" w14:textId="2B7E7DE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尊者難陀告諸比丘尼：「善哉！善哉！汝於此義應如是觀察：『此六受身如實無我。』緣眼、色，生眼識，三事和合生觸，觸緣想，彼想是我、異我、相在不？」</w:t>
      </w:r>
    </w:p>
    <w:p w14:paraId="5F120085" w14:textId="2EB1421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15E23409" w14:textId="61413C2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「耳、鼻、舌、身、意法緣生意識，三事和合生觸，觸緣想，彼想是我、異我、相在不？」</w:t>
      </w:r>
    </w:p>
    <w:p w14:paraId="4A9D2F76" w14:textId="1EAD8F2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答言：「不也，尊者難陀！所以者何？我曾於此六想身如實觀察無我，我亦常作此意解，六想身如實無我。」</w:t>
      </w:r>
    </w:p>
    <w:p w14:paraId="600283F3" w14:textId="035A26C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尊者難陀告諸比丘尼：「善哉！善哉！比丘尼！汝於此義應如是觀察：『此六想身如實無我。』緣眼、色，生眼識，三事和合觸，觸緣思，彼思是我、異我、相在不？」</w:t>
      </w:r>
    </w:p>
    <w:p w14:paraId="7ED3993D" w14:textId="348EAF6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6B6DADB4" w14:textId="60EC001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「耳、鼻、舌、身、意法緣生意識，三事和合觸，觸緣思，彼思是我、異我、相在不？」</w:t>
      </w:r>
    </w:p>
    <w:p w14:paraId="5F239EBC" w14:textId="58CBA3D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答言：「不也，尊者難陀！所以者何？我曾於此六思身如實觀察無我，我常作此意解：『此六思身如實無我。』」</w:t>
      </w:r>
    </w:p>
    <w:p w14:paraId="0337E9C2" w14:textId="1758EE6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尊者難陀告諸比丘尼：「善哉！善哉！比丘尼！汝於此義應如是觀察：『此六思身如實無我。』緣眼、色，生眼識，三事和合觸，觸緣愛，彼愛是我、異我、相在不？」</w:t>
      </w:r>
    </w:p>
    <w:p w14:paraId="7DC01535" w14:textId="49BFD9D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答言：「不也，尊者難陀！」</w:t>
      </w:r>
    </w:p>
    <w:p w14:paraId="1C497C8A" w14:textId="6013D0F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「耳、鼻、舌、身、意法緣生意識，三事和合觸，觸緣愛，彼愛是我、異我、相在不？」</w:t>
      </w:r>
    </w:p>
    <w:p w14:paraId="70F6B805" w14:textId="7344436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答言：「不也，尊者難陀！所以者何？我曾於此六愛身如實觀察無我，我常作此意解：『此六愛身如實無我。』」</w:t>
      </w:r>
    </w:p>
    <w:p w14:paraId="71395AC3" w14:textId="1CD9F48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汝於此義應如是觀察：『此六愛身如實無我。』姊妹！譬因膏油、因炷，燈明得然；彼油無常，炷亦無常，火亦無常，器亦無常。若有作是言：『無油、無炷、無火、無器，而所依起燈光，常、恒、住、不變易。』作是說者，為等說不？」</w:t>
      </w:r>
    </w:p>
    <w:p w14:paraId="01E5D88B" w14:textId="70867E2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答言：「不也，尊者難陀！所以者何？緣油、炷、器然燈，彼油、炷、器悉無常；若無油、無炷、無器，所依燈光亦復隨滅、息、沒、清涼、真實。」</w:t>
      </w:r>
    </w:p>
    <w:p w14:paraId="608E5C20" w14:textId="72A1ED2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「如是，姊妹！此六內入處無常。若有說言：『此六內入處因緣生喜樂，常、恒、住、不變易、安隱。』是為等說不？」</w:t>
      </w:r>
    </w:p>
    <w:p w14:paraId="058A89EA" w14:textId="4914463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答言：「不也，尊者難陀！所以者何？我等曾如實觀察，彼彼法緣生彼彼法；彼彼緣法滅，彼彼生法</w:t>
      </w:r>
      <w:r w:rsidRPr="008F7BCB">
        <w:rPr>
          <w:rStyle w:val="af4"/>
          <w:noProof/>
        </w:rPr>
        <w:footnoteReference w:id="31"/>
      </w:r>
      <w:r w:rsidRPr="008F7BCB">
        <w:rPr>
          <w:rFonts w:hint="eastAsia"/>
          <w:noProof/>
        </w:rPr>
        <w:t>亦復隨滅、息、沒、清涼、真實。」</w:t>
      </w:r>
    </w:p>
    <w:p w14:paraId="42DD2B27" w14:textId="29D588D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尊者難陀告諸比丘尼：「善哉！善哉！比丘尼！汝於此義應如是觀察：『彼彼</w:t>
      </w:r>
      <w:r w:rsidRPr="008F7BCB">
        <w:rPr>
          <w:rStyle w:val="af4"/>
          <w:noProof/>
        </w:rPr>
        <w:footnoteReference w:id="32"/>
      </w:r>
      <w:r w:rsidRPr="008F7BCB">
        <w:rPr>
          <w:rFonts w:hint="eastAsia"/>
          <w:noProof/>
        </w:rPr>
        <w:t>法緣生彼彼法，彼彼</w:t>
      </w:r>
      <w:r w:rsidRPr="008F7BCB">
        <w:rPr>
          <w:rStyle w:val="af4"/>
          <w:noProof/>
        </w:rPr>
        <w:footnoteReference w:id="33"/>
      </w:r>
      <w:r w:rsidRPr="008F7BCB">
        <w:rPr>
          <w:rFonts w:hint="eastAsia"/>
          <w:noProof/>
        </w:rPr>
        <w:t>法緣滅，彼彼生法亦復隨滅、息、沒、寂靜、清涼、真實。』諸姊妹！譬如大樹根、</w:t>
      </w:r>
      <w:r w:rsidRPr="008F7BCB">
        <w:rPr>
          <w:rStyle w:val="af4"/>
          <w:noProof/>
        </w:rPr>
        <w:footnoteReference w:id="34"/>
      </w:r>
      <w:r w:rsidRPr="008F7BCB">
        <w:rPr>
          <w:rFonts w:hint="eastAsia"/>
          <w:noProof/>
        </w:rPr>
        <w:t>莖、枝、葉，根亦無常，</w:t>
      </w:r>
      <w:r w:rsidRPr="008F7BCB">
        <w:rPr>
          <w:rStyle w:val="af4"/>
          <w:noProof/>
        </w:rPr>
        <w:footnoteReference w:id="35"/>
      </w:r>
      <w:r w:rsidRPr="008F7BCB">
        <w:rPr>
          <w:rFonts w:hint="eastAsia"/>
          <w:noProof/>
        </w:rPr>
        <w:t>莖、枝、葉皆悉無常。若有說言：『無彼樹根、</w:t>
      </w:r>
      <w:r w:rsidRPr="008F7BCB">
        <w:rPr>
          <w:rStyle w:val="af4"/>
          <w:noProof/>
        </w:rPr>
        <w:footnoteReference w:id="36"/>
      </w:r>
      <w:r w:rsidRPr="008F7BCB">
        <w:rPr>
          <w:rFonts w:hint="eastAsia"/>
          <w:noProof/>
        </w:rPr>
        <w:t>莖、枝、葉，唯有其影常、恒、住、不變易、安隱者，為等說不？』」</w:t>
      </w:r>
    </w:p>
    <w:p w14:paraId="394AB65B" w14:textId="7FF04F9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答言：「不也，尊者難陀！所以者何？如彼大樹根、莖、枝、葉，彼根亦無常，莖、枝、葉亦復無常，無根、無莖、無枝、無葉，所依樹影，一切悉無。」</w:t>
      </w:r>
    </w:p>
    <w:p w14:paraId="4E6CFD2C" w14:textId="412939E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「諸姊妹！若緣外六入處無常，若言外六入</w:t>
      </w:r>
      <w:r w:rsidRPr="008F7BCB">
        <w:rPr>
          <w:rStyle w:val="af4"/>
          <w:noProof/>
        </w:rPr>
        <w:footnoteReference w:id="37"/>
      </w:r>
      <w:r w:rsidRPr="008F7BCB">
        <w:rPr>
          <w:rFonts w:hint="eastAsia"/>
          <w:noProof/>
        </w:rPr>
        <w:t>處因緣生喜</w:t>
      </w:r>
      <w:r w:rsidRPr="008F7BCB">
        <w:rPr>
          <w:rStyle w:val="af4"/>
          <w:noProof/>
        </w:rPr>
        <w:footnoteReference w:id="38"/>
      </w:r>
      <w:r>
        <w:rPr>
          <w:rStyle w:val="corr"/>
          <w:rFonts w:hint="eastAsia"/>
          <w:noProof/>
        </w:rPr>
        <w:t>樂，常</w:t>
      </w:r>
      <w:r w:rsidRPr="008F7BCB">
        <w:rPr>
          <w:rFonts w:hint="eastAsia"/>
          <w:noProof/>
        </w:rPr>
        <w:t>、恒、住、不變易、安隱者，此為等說不？」</w:t>
      </w:r>
    </w:p>
    <w:p w14:paraId="7FCE1421" w14:textId="659E3C3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答言：「不也，尊者難陀！所以者何？我曾於此義如實觀察，彼彼法緣生彼彼法，彼彼</w:t>
      </w:r>
      <w:r w:rsidRPr="008F7BCB">
        <w:rPr>
          <w:rStyle w:val="af4"/>
          <w:noProof/>
        </w:rPr>
        <w:footnoteReference w:id="39"/>
      </w:r>
      <w:r w:rsidRPr="008F7BCB">
        <w:rPr>
          <w:rFonts w:hint="eastAsia"/>
          <w:noProof/>
        </w:rPr>
        <w:t>法緣滅，彼彼生法亦復隨滅、息、沒、寂靜、清涼、真實。」</w:t>
      </w:r>
    </w:p>
    <w:p w14:paraId="6A99D4C0" w14:textId="0279BF4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難陀告諸比丘尼：「善哉！善哉！姊妹！汝於此義當如實觀察：『彼彼法緣生彼彼法，彼彼法緣滅，彼彼生法亦復隨滅、息、沒、寂滅、清涼、真實。』諸姊妹！聽我說譬，夫智者因譬得解。譬如善屠牛師、屠牛弟子手執利刀，解剝其牛，乘間而剝，不傷內肉、不傷外皮，解其</w:t>
      </w:r>
      <w:r w:rsidRPr="008F7BCB">
        <w:rPr>
          <w:rStyle w:val="af4"/>
          <w:noProof/>
        </w:rPr>
        <w:footnoteReference w:id="40"/>
      </w:r>
      <w:r w:rsidRPr="008F7BCB">
        <w:rPr>
          <w:rFonts w:hint="eastAsia"/>
          <w:noProof/>
        </w:rPr>
        <w:t>枝節筋骨，然後還以皮覆其上。若有人言：『此牛皮肉全而不離。』為等說不？」</w:t>
      </w:r>
    </w:p>
    <w:p w14:paraId="4443B8F1" w14:textId="13AC262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答言：「不也，尊者難陀！所以者何？彼善屠牛師、屠牛弟子手執利刀，乘間而剝，不傷皮肉，</w:t>
      </w:r>
      <w:r w:rsidRPr="008F7BCB">
        <w:rPr>
          <w:rStyle w:val="af4"/>
          <w:noProof/>
        </w:rPr>
        <w:footnoteReference w:id="41"/>
      </w:r>
      <w:r w:rsidRPr="008F7BCB">
        <w:rPr>
          <w:rFonts w:hint="eastAsia"/>
          <w:noProof/>
        </w:rPr>
        <w:t>枝節筋骨悉皆斷截，還以皮覆上，皮肉已離，非不離也。」</w:t>
      </w:r>
    </w:p>
    <w:p w14:paraId="4D0C9F5C" w14:textId="4E41008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「姊妹！我說所譬，今當說義。牛者譬人身麁色，如篋毒蛇經廣說。</w:t>
      </w:r>
    </w:p>
    <w:p w14:paraId="70419589" w14:textId="2EBD779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肉者謂內六入處，外皮者謂外六入處，屠牛者謂學見跡，皮肉中間筋骨者謂貪喜俱，利刀者謂利智慧。多聞聖弟子以智慧利刀斷截一切結、縛、使、煩惱、上煩惱、纏。是故，諸姊妹！當如是學：『於所可樂法，心不應著，斷除貪故；所可瞋法，不應生瞋，斷除瞋故；所可癡法，不應生癡，斷除癡故。於五受陰，當觀生滅；於六觸入處，當觀集滅；於四念處，當善繫心。住七覺分，修七覺分已，於其欲漏，心不緣著，心得解脫；於其有漏，心不緣著，心得解脫；於無明漏，心不緣著，心得解脫。』諸姊妹！當如是學。」</w:t>
      </w:r>
    </w:p>
    <w:p w14:paraId="5993CB13" w14:textId="35A2633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爾時，尊者難陀為諸比丘尼說法，示、教、照、喜；示、教、照、喜已，從座起去。時，摩訶波闍波提比丘尼與五百比丘尼眷屬圍遶，往詣佛所，稽首禮足，退住一面，乃至為佛作禮而去。</w:t>
      </w:r>
    </w:p>
    <w:p w14:paraId="25394889" w14:textId="31C593D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知摩訶波闍波提比丘尼去已，告諸比丘：「譬如明月十四日夜，多眾觀月，為是滿耶？為未滿耶？當知彼月未究竟滿。如是，善男子難陀為五百比丘尼正教授、正說法，於其解脫猶未究竟。然此等比丘尼命終之時，不見一結不斷，能使彼還生於此世。」</w:t>
      </w:r>
    </w:p>
    <w:p w14:paraId="6E1614A7" w14:textId="03C49A6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爾時，世尊復告難陀：「更為諸比丘尼說法。」</w:t>
      </w:r>
    </w:p>
    <w:p w14:paraId="69368123" w14:textId="28646DA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爾時，尊者難陀默然奉教，夜過晨朝，持鉢入城乞食，食已，乃至往詣王園，就座而坐，為諸比丘尼說法，示、教、照、喜；示、教、照、喜已，從座起去。摩訶波闍波提比丘尼復於異時與五百比丘尼前後圍遶，</w:t>
      </w:r>
      <w:r w:rsidRPr="008F7BCB">
        <w:rPr>
          <w:rStyle w:val="af4"/>
          <w:noProof/>
        </w:rPr>
        <w:footnoteReference w:id="42"/>
      </w:r>
      <w:r w:rsidRPr="008F7BCB">
        <w:rPr>
          <w:rFonts w:hint="eastAsia"/>
          <w:noProof/>
        </w:rPr>
        <w:t>往詣佛所，稽首禮足，乃至作禮而去。</w:t>
      </w:r>
    </w:p>
    <w:p w14:paraId="5FAF6EE7" w14:textId="2FD0AD9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爾時，世尊知摩訶波闍波提比丘尼去已，告諸比丘：「譬如明月十五日夜，無有人疑月滿不滿者，然其彼月究竟圓滿。如是，善男子難陀為諸比丘尼說如是正教授，究竟解脫；若命終時，無有說彼道路所趣，此當知即是苦邊。」是為世尊為五百比丘尼</w:t>
      </w:r>
      <w:r w:rsidRPr="008F7BCB">
        <w:rPr>
          <w:rStyle w:val="af4"/>
          <w:noProof/>
        </w:rPr>
        <w:footnoteReference w:id="43"/>
      </w:r>
      <w:r w:rsidRPr="008F7BCB">
        <w:rPr>
          <w:rFonts w:hint="eastAsia"/>
          <w:noProof/>
        </w:rPr>
        <w:t>受第一果記。</w:t>
      </w:r>
    </w:p>
    <w:p w14:paraId="55C1570F" w14:textId="73A12E1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6EC49465" w14:textId="0972CC5B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44"/>
      </w:r>
      <w:r w:rsidRPr="008F7BCB">
        <w:rPr>
          <w:rFonts w:hint="eastAsia"/>
          <w:noProof/>
        </w:rPr>
        <w:t>（二七七）</w:t>
      </w:r>
    </w:p>
    <w:p w14:paraId="3B9D294C" w14:textId="14166CF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6A5D8BDF" w14:textId="3B600D0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722EEC7D" w14:textId="6EE0038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爾時，世尊告諸比丘：「有不律儀、律儀。諦聽，善思，當為汝說。</w:t>
      </w:r>
    </w:p>
    <w:p w14:paraId="545C6849" w14:textId="22F4514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不律儀？眼根不律儀所攝護。眼識著色，緣著故，以生苦受；苦受故，不一其心；不一心故，不得如實知見；不得如實知見故，不離疑惑；不離疑惑故，由他所誤，而常苦住。耳、鼻、舌、身、意亦復如是。是名不律儀。</w:t>
      </w:r>
    </w:p>
    <w:p w14:paraId="234E5AA1" w14:textId="11DEAE6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「云何律儀？眼根律儀所攝護。眼識</w:t>
      </w:r>
      <w:r w:rsidRPr="008F7BCB">
        <w:rPr>
          <w:rStyle w:val="af4"/>
          <w:noProof/>
        </w:rPr>
        <w:footnoteReference w:id="45"/>
      </w:r>
      <w:r w:rsidRPr="008F7BCB">
        <w:rPr>
          <w:rFonts w:hint="eastAsia"/>
          <w:noProof/>
        </w:rPr>
        <w:t>識色，心不染著；心不染著已，常樂</w:t>
      </w:r>
      <w:r w:rsidRPr="008F7BCB">
        <w:rPr>
          <w:rStyle w:val="af4"/>
          <w:noProof/>
        </w:rPr>
        <w:footnoteReference w:id="46"/>
      </w:r>
      <w:r w:rsidRPr="008F7BCB">
        <w:rPr>
          <w:rFonts w:hint="eastAsia"/>
          <w:noProof/>
        </w:rPr>
        <w:t>更住；心樂住已，常一其心；一其心已，如實知見；如實知見已，離諸疑惑；離諸疑惑已，不由他誤，常安樂住。耳、鼻、舌、身、意亦復如是。是名律儀。」</w:t>
      </w:r>
    </w:p>
    <w:p w14:paraId="5F12DA40" w14:textId="26D5028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2B5378B2" w14:textId="54CDCFFA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47"/>
      </w:r>
      <w:r w:rsidRPr="008F7BCB">
        <w:rPr>
          <w:rFonts w:hint="eastAsia"/>
          <w:noProof/>
        </w:rPr>
        <w:t>（二七八）</w:t>
      </w:r>
    </w:p>
    <w:p w14:paraId="43F3AE1A" w14:textId="76B07DB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6C8FCBD6" w14:textId="6BD4A64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06C9A031" w14:textId="57FC044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爾時，世尊告諸比丘：「有退、不退法、六</w:t>
      </w:r>
      <w:r w:rsidRPr="008F7BCB">
        <w:rPr>
          <w:rStyle w:val="af4"/>
          <w:noProof/>
        </w:rPr>
        <w:footnoteReference w:id="48"/>
      </w:r>
      <w:r>
        <w:rPr>
          <w:rStyle w:val="corr"/>
          <w:rFonts w:hint="eastAsia"/>
          <w:noProof/>
        </w:rPr>
        <w:t>勝</w:t>
      </w:r>
      <w:r w:rsidRPr="008F7BCB">
        <w:rPr>
          <w:rFonts w:hint="eastAsia"/>
          <w:noProof/>
        </w:rPr>
        <w:t>入處。諦聽，善思，當為汝說。</w:t>
      </w:r>
    </w:p>
    <w:p w14:paraId="44374B01" w14:textId="7A3CF5D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「云何退法？謂眼識色生欲覺，彼比丘歡喜讚歎，執取繫著，隨順彼法迴轉，當知是比丘退諸善法，世尊所說，是名退法。耳、鼻、舌、身、意亦復如是。</w:t>
      </w:r>
    </w:p>
    <w:p w14:paraId="323E0276" w14:textId="0FAF9E4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「云何名不退法？眼識色緣，</w:t>
      </w:r>
      <w:r w:rsidRPr="008F7BCB">
        <w:rPr>
          <w:rStyle w:val="af4"/>
          <w:noProof/>
        </w:rPr>
        <w:footnoteReference w:id="49"/>
      </w:r>
      <w:r w:rsidRPr="008F7BCB">
        <w:rPr>
          <w:rFonts w:hint="eastAsia"/>
          <w:noProof/>
        </w:rPr>
        <w:t>生欲覺結，彼比丘不喜、不讚歎、不執取、不繫著，於彼法不隨順迴轉，當知是比丘不退轉諸善法，世尊說是不退法。耳、鼻、舌、身、意亦復如是。</w:t>
      </w:r>
    </w:p>
    <w:p w14:paraId="797A59A2" w14:textId="5F58091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「云何六勝入處？眼識色緣，不生欲覺、結染著，當知是比丘勝彼入處。勝彼入處，是世尊所說。耳、鼻、舌、身、意亦復如是。若彼比丘於六勝入處勝已，貪欲結斷，</w:t>
      </w:r>
      <w:r w:rsidRPr="008F7BCB">
        <w:rPr>
          <w:rStyle w:val="af4"/>
          <w:noProof/>
        </w:rPr>
        <w:footnoteReference w:id="50"/>
      </w:r>
      <w:r w:rsidRPr="008F7BCB">
        <w:rPr>
          <w:rFonts w:hint="eastAsia"/>
          <w:noProof/>
        </w:rPr>
        <w:t>瞋恚、愚癡結斷。譬如王者，摧敵勝怨，名曰勝王；斷除眾結，名勝婆羅門。」</w:t>
      </w:r>
    </w:p>
    <w:p w14:paraId="44C20E03" w14:textId="4F61CED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371C81D9" w14:textId="7649B266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51"/>
      </w:r>
      <w:r w:rsidRPr="008F7BCB">
        <w:rPr>
          <w:rFonts w:hint="eastAsia"/>
          <w:noProof/>
        </w:rPr>
        <w:t>（二七九）</w:t>
      </w:r>
    </w:p>
    <w:p w14:paraId="37FF9189" w14:textId="044DE32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3C8A5570" w14:textId="3B0FF87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一時，佛住舍衛國祇樹給孤獨園。</w:t>
      </w:r>
    </w:p>
    <w:p w14:paraId="06281435" w14:textId="6EBB573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爾時，世尊告諸比丘：「於此六根不調伏、不關閉、不守護、不執持、不修習，於未來世必受苦報。</w:t>
      </w:r>
    </w:p>
    <w:p w14:paraId="7949B9BE" w14:textId="240D304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「何等為六根？眼根不調伏、不關閉、不守護、不修習、不執持，於未來世必受苦報；耳、鼻、舌、身、意根亦復如是。愚癡無聞凡夫眼根見色，執受相，執受隨形好，任彼眼根趣向，不律儀執受，住世間貪、</w:t>
      </w:r>
      <w:r w:rsidRPr="008F7BCB">
        <w:rPr>
          <w:rStyle w:val="af4"/>
          <w:noProof/>
        </w:rPr>
        <w:footnoteReference w:id="52"/>
      </w:r>
      <w:r w:rsidRPr="008F7BCB">
        <w:rPr>
          <w:rFonts w:hint="eastAsia"/>
          <w:noProof/>
        </w:rPr>
        <w:t>愛、惡不善法，以漏其心，此等不能執持律儀，防護眼</w:t>
      </w:r>
      <w:r w:rsidRPr="008F7BCB">
        <w:rPr>
          <w:rStyle w:val="af4"/>
          <w:noProof/>
        </w:rPr>
        <w:footnoteReference w:id="53"/>
      </w:r>
      <w:r w:rsidRPr="008F7BCB">
        <w:rPr>
          <w:rFonts w:hint="eastAsia"/>
          <w:noProof/>
        </w:rPr>
        <w:t>根。耳、鼻、舌、身、意根，亦復如是。如是於六根不調伏、不關閉、不守護、不執持、不修習，於未來世必受苦報。</w:t>
      </w:r>
    </w:p>
    <w:p w14:paraId="6819BBCB" w14:textId="2902955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「云何六根善調伏、善關閉、善守護、善執持、善修習，於未來世必受樂報？多聞聖弟子眼見色，不取色相，不取隨形好，任其眼根之所趣向，常住律儀，世間貪、</w:t>
      </w:r>
      <w:r w:rsidRPr="008F7BCB">
        <w:rPr>
          <w:rStyle w:val="af4"/>
          <w:noProof/>
        </w:rPr>
        <w:footnoteReference w:id="54"/>
      </w:r>
      <w:r w:rsidRPr="008F7BCB">
        <w:rPr>
          <w:rFonts w:hint="eastAsia"/>
          <w:noProof/>
        </w:rPr>
        <w:t>愛、惡不善法不漏其心，能生律儀，善護眼根。耳、鼻、舌、身、</w:t>
      </w:r>
      <w:r w:rsidRPr="008F7BCB">
        <w:rPr>
          <w:rFonts w:hint="eastAsia"/>
          <w:noProof/>
        </w:rPr>
        <w:lastRenderedPageBreak/>
        <w:t>意根，亦復如是。</w:t>
      </w:r>
      <w:r w:rsidRPr="008F7BCB">
        <w:rPr>
          <w:rStyle w:val="af4"/>
          <w:noProof/>
        </w:rPr>
        <w:footnoteReference w:id="55"/>
      </w:r>
      <w:r w:rsidRPr="008F7BCB">
        <w:rPr>
          <w:rFonts w:hint="eastAsia"/>
          <w:noProof/>
        </w:rPr>
        <w:t>如是六根善調伏、善關閉、善守護、善執持、善修習，於未來世必受樂報。」</w:t>
      </w:r>
    </w:p>
    <w:p w14:paraId="064B9948" w14:textId="6327501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即說偈言：</w:t>
      </w:r>
    </w:p>
    <w:p w14:paraId="36900C3D" w14:textId="060088AE" w:rsidR="008F7BCB" w:rsidRDefault="008F7BCB" w:rsidP="008F7BCB">
      <w:pPr>
        <w:pStyle w:val="lg"/>
        <w:spacing w:before="180"/>
        <w:ind w:left="240" w:hangingChars="100" w:hanging="240"/>
        <w:rPr>
          <w:noProof/>
        </w:rPr>
      </w:pPr>
      <w:r w:rsidRPr="008F7BCB">
        <w:rPr>
          <w:rFonts w:hint="eastAsia"/>
          <w:noProof/>
        </w:rPr>
        <w:t>「於六觸入處，　　住於不律儀，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是等諸比丘，　　長夜受大苦。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斯等於律儀，　　常當勤修習，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正信心不二，　　諸漏不漏心。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眼見於彼色，　　可意不可意，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可意不生欲，　　不可不憎惡。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耳聞彼諸聲，　　亦有念不念，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於念不樂著，　　不念不起惡。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鼻根之所嚊，　　若香若臭物，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等心於香臭，　　無欲亦無違。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所食於眾味，　　彼亦有美惡，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美味不起貪，　　惡味亦不擇。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樂觸以觸身，　　不生於放逸，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為苦觸所觸，　　不生過惡想。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平等捨苦樂，　　不滅者令滅，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心意所觀察，　　彼種彼種相。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虛偽而分別，　　欲貪轉增廣，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覺悟彼諸惡，　　安住離欲心。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善攝此六根，　　六境觸不動，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摧伏眾魔怨，　　度生死彼岸。」</w:t>
      </w:r>
    </w:p>
    <w:p w14:paraId="1619FF0F" w14:textId="6E88958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佛說此經已，諸比丘聞佛所說，歡喜奉行。</w:t>
      </w:r>
    </w:p>
    <w:p w14:paraId="1587E1DE" w14:textId="08DE49EC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56"/>
      </w:r>
      <w:r w:rsidRPr="008F7BCB">
        <w:rPr>
          <w:rFonts w:hint="eastAsia"/>
          <w:noProof/>
        </w:rPr>
        <w:t>（二八〇）</w:t>
      </w:r>
    </w:p>
    <w:p w14:paraId="7CC0895C" w14:textId="52C6946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5C7C4BA6" w14:textId="27386A6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一時，世尊在</w:t>
      </w:r>
      <w:r w:rsidRPr="008F7BCB">
        <w:rPr>
          <w:rStyle w:val="af4"/>
          <w:noProof/>
        </w:rPr>
        <w:footnoteReference w:id="57"/>
      </w:r>
      <w:r w:rsidRPr="008F7BCB">
        <w:rPr>
          <w:rFonts w:hint="eastAsia"/>
          <w:noProof/>
        </w:rPr>
        <w:t>拘薩羅國人間遊行，到</w:t>
      </w:r>
      <w:r w:rsidRPr="008F7BCB">
        <w:rPr>
          <w:rStyle w:val="af4"/>
          <w:noProof/>
        </w:rPr>
        <w:footnoteReference w:id="58"/>
      </w:r>
      <w:r w:rsidRPr="008F7BCB">
        <w:rPr>
          <w:rFonts w:hint="eastAsia"/>
          <w:noProof/>
        </w:rPr>
        <w:t>頻頭城北申恕林中。</w:t>
      </w:r>
    </w:p>
    <w:p w14:paraId="0606AA61" w14:textId="3A566DE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爾時，頻頭城中，婆羅門長者皆聞世尊於拘薩羅國人間遊行，住頻頭城申恕林中。聞已，悉共出城，至申恕林，詣世尊所，稽首禮足，退坐一面。</w:t>
      </w:r>
    </w:p>
    <w:p w14:paraId="32C68484" w14:textId="20C2D5C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頻頭城婆羅門長者：「若人問汝言：『何等像類沙門、婆羅門不應恭敬、尊重、禮事、供養？』汝當答言：『若沙門、婆羅門眼見色，未離貪、未離欲、未離愛、未離渴、未離念，內心不寂靜，所行非法，</w:t>
      </w:r>
      <w:r w:rsidRPr="008F7BCB">
        <w:rPr>
          <w:rStyle w:val="af4"/>
          <w:noProof/>
        </w:rPr>
        <w:footnoteReference w:id="59"/>
      </w:r>
      <w:r w:rsidRPr="008F7BCB">
        <w:rPr>
          <w:rFonts w:hint="eastAsia"/>
          <w:noProof/>
        </w:rPr>
        <w:t>所行踈澁行。耳、鼻、舌、身、意法亦復如是。如是像類比丘，不應恭敬、尊重、禮事、供養。』</w:t>
      </w:r>
    </w:p>
    <w:p w14:paraId="00C8A149" w14:textId="6D9079E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「作是說已，當復問言：『何故如此像類沙門、婆羅門，不應恭敬、尊重、禮事、供養？』汝應答言：『我等眼見色，不離欲、不離愛、不離渴、不離念，</w:t>
      </w:r>
      <w:r w:rsidRPr="008F7BCB">
        <w:rPr>
          <w:rFonts w:hint="eastAsia"/>
          <w:noProof/>
        </w:rPr>
        <w:lastRenderedPageBreak/>
        <w:t>內心不寂靜。耳、鼻、舌、身、意法亦復如是。彼沙門、婆羅門眼見色，亦不離貪、不離欲、不離愛、不離渴、不離念，內心不寂靜，行非法，行踈澁行。耳、鼻、舌、身、意法亦復如是。我於斯等求其差別，不見差別之行。是故我於斯等像類沙門、婆羅門不</w:t>
      </w:r>
      <w:r w:rsidRPr="008F7BCB">
        <w:rPr>
          <w:rStyle w:val="af4"/>
          <w:noProof/>
        </w:rPr>
        <w:footnoteReference w:id="60"/>
      </w:r>
      <w:r w:rsidRPr="008F7BCB">
        <w:rPr>
          <w:rFonts w:hint="eastAsia"/>
          <w:noProof/>
        </w:rPr>
        <w:t>應恭敬、尊重、禮事、供養。』</w:t>
      </w:r>
    </w:p>
    <w:p w14:paraId="217E58A4" w14:textId="5AA2673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「若復問言：『何等像類沙門、婆羅門所應恭敬、尊重、禮事、供養？』汝應答言：『若彼眼見色，離貪、離欲、離愛、離渴、離念，內心寂靜，不行非法行，行等行，</w:t>
      </w:r>
      <w:r w:rsidRPr="008F7BCB">
        <w:rPr>
          <w:rStyle w:val="af4"/>
          <w:noProof/>
        </w:rPr>
        <w:footnoteReference w:id="61"/>
      </w:r>
      <w:r w:rsidRPr="008F7BCB">
        <w:rPr>
          <w:rFonts w:hint="eastAsia"/>
          <w:noProof/>
        </w:rPr>
        <w:t>不踈澁行。耳、鼻、舌、身、意法亦復如是。如是像類沙門、婆羅門所應恭敬、尊重、禮事、供養。』</w:t>
      </w:r>
    </w:p>
    <w:p w14:paraId="410189BC" w14:textId="235F8FF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「若復問言：『何故於此像類沙門、婆羅門恭敬、尊重、禮事、供養？』汝應答言：『我等</w:t>
      </w:r>
      <w:r w:rsidRPr="008F7BCB">
        <w:rPr>
          <w:rStyle w:val="af4"/>
          <w:noProof/>
        </w:rPr>
        <w:footnoteReference w:id="62"/>
      </w:r>
      <w:r w:rsidRPr="008F7BCB">
        <w:rPr>
          <w:rFonts w:hint="eastAsia"/>
          <w:noProof/>
        </w:rPr>
        <w:t>眼見色，不離貪、不離欲、不離愛、不離渴、不離念，內心不寂靜，行非法行，行踈澁行。耳、鼻、舌、身、意法亦復如是。斯等像類沙門、婆羅門離貪、離欲、離渴、離念，內心寂靜，行如法行，不行踈澁行。耳、鼻、舌、身、意法亦復如是。我等於彼，求其差別，見差別故，於彼像類沙門、婆羅門所應恭敬、尊重、禮事、供養。』</w:t>
      </w:r>
    </w:p>
    <w:p w14:paraId="7B33935C" w14:textId="2422B36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「如是說已，若復問言：『彼沙門、婆羅門有何</w:t>
      </w:r>
      <w:r w:rsidRPr="008F7BCB">
        <w:rPr>
          <w:rStyle w:val="af4"/>
          <w:noProof/>
        </w:rPr>
        <w:footnoteReference w:id="63"/>
      </w:r>
      <w:r>
        <w:rPr>
          <w:rStyle w:val="corr"/>
          <w:rFonts w:hint="eastAsia"/>
          <w:noProof/>
        </w:rPr>
        <w:t>行</w:t>
      </w:r>
      <w:r w:rsidRPr="008F7BCB">
        <w:rPr>
          <w:rFonts w:hint="eastAsia"/>
          <w:noProof/>
        </w:rPr>
        <w:t>？有何形貌？有何相？汝等知是沙門、婆羅門離貪、向調伏貪，離恚、向調伏恚，離癡、向調伏癡？』汝應答言：『我見彼沙門、婆羅門有如是像類，</w:t>
      </w:r>
      <w:r w:rsidRPr="008F7BCB">
        <w:rPr>
          <w:rStyle w:val="af4"/>
          <w:noProof/>
        </w:rPr>
        <w:footnoteReference w:id="64"/>
      </w:r>
      <w:r w:rsidRPr="008F7BCB">
        <w:rPr>
          <w:rFonts w:hint="eastAsia"/>
          <w:noProof/>
        </w:rPr>
        <w:t>在空閑處、林中樹下、卑床草蓐，修行遠離，離諸女人，近樂獨人，同禪思者；若於彼處，無眼見色可生樂著，無耳聲、鼻香、舌味、身觸可生樂著，若彼沙門、婆羅門有如是行、如是形貌、如是相，令我等知是沙門，婆羅門離貪、向調伏貪，離恚、向調伏恚，離癡、向調伏癡。』」</w:t>
      </w:r>
    </w:p>
    <w:p w14:paraId="671ACB70" w14:textId="624A150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諸沙門、婆羅門長者白佛言：「奇哉！世尊！不自譽、不毀他，正說其義，各各自於諸入處，分別染污清淨，廣說緣起，如如來、應、等正覺說。譬如士夫，溺者能救，閉者能開，迷者示路，闇處然燈。世尊亦復如是。不自譽、不毀他，正說其義，乃至如如來、應、等正覺說。」</w:t>
      </w:r>
    </w:p>
    <w:p w14:paraId="1167829C" w14:textId="4F15320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爾時，頻頭城婆羅門長者聞佛所說，歡喜作禮而去。</w:t>
      </w:r>
    </w:p>
    <w:p w14:paraId="76675043" w14:textId="7B2D7F93" w:rsidR="008F7BCB" w:rsidRDefault="008F7BCB" w:rsidP="008F7BCB">
      <w:pPr>
        <w:pStyle w:val="2"/>
        <w:rPr>
          <w:noProof/>
        </w:rPr>
      </w:pPr>
      <w:r w:rsidRPr="008F7BCB">
        <w:rPr>
          <w:rFonts w:hint="eastAsia"/>
          <w:noProof/>
        </w:rPr>
        <w:t>（二八一）</w:t>
      </w:r>
    </w:p>
    <w:p w14:paraId="0DD3F5A3" w14:textId="1B84115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6C74FE16" w14:textId="349A99B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一時，佛住王舍城迦蘭陀竹園。</w:t>
      </w:r>
    </w:p>
    <w:p w14:paraId="0D4F0420" w14:textId="2A07CA2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時，有縈髮目揵連出家來詣佛所，共相問訊，問訊已，退坐一面。</w:t>
      </w:r>
    </w:p>
    <w:p w14:paraId="7850C5E0" w14:textId="07E3681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爾時，世尊告縈髮目揵連：「汝從何來？」</w:t>
      </w:r>
    </w:p>
    <w:p w14:paraId="5D3727BB" w14:textId="3A1C914C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縈髮目揵連白佛言：「我從彼眾多種種異道沙門、婆羅門、遮羅迦出家，集會未曾講堂聽法，從彼林來。」</w:t>
      </w:r>
    </w:p>
    <w:p w14:paraId="769FF3B9" w14:textId="74FED5C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佛告縈髮目揵連：「汝為何等福力故，從彼眾多種種異道沙門、婆羅門、遮羅迦出家所聽其說法？」</w:t>
      </w:r>
    </w:p>
    <w:p w14:paraId="262ABC4F" w14:textId="6F5BB32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縈髮目揵連言：「我</w:t>
      </w:r>
      <w:r w:rsidRPr="008F7BCB">
        <w:rPr>
          <w:rStyle w:val="af4"/>
          <w:noProof/>
        </w:rPr>
        <w:footnoteReference w:id="65"/>
      </w:r>
      <w:r w:rsidRPr="008F7BCB">
        <w:rPr>
          <w:rFonts w:hint="eastAsia"/>
          <w:noProof/>
        </w:rPr>
        <w:t>試聽其競勝論義福利，聽其相違反論議福利故。」</w:t>
      </w:r>
    </w:p>
    <w:p w14:paraId="3F438830" w14:textId="2BF45E7F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佛告目揵連：「長夜久遠，種種異道沙門、婆羅門、遮羅迦出家競勝論議，相違反論議福利，</w:t>
      </w:r>
      <w:r w:rsidRPr="008F7BCB">
        <w:rPr>
          <w:rStyle w:val="af4"/>
          <w:noProof/>
        </w:rPr>
        <w:footnoteReference w:id="66"/>
      </w:r>
      <w:r w:rsidRPr="008F7BCB">
        <w:rPr>
          <w:rFonts w:hint="eastAsia"/>
          <w:noProof/>
        </w:rPr>
        <w:t>迭相破壞。」</w:t>
      </w:r>
    </w:p>
    <w:p w14:paraId="40D66B67" w14:textId="58D9EFB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縈髮目揵連白佛言：「瞿曇！為諸弟子說何等法福利，令彼轉為人說，不謗如來，不增不減，誠說、法說、法次法說，無有餘人能</w:t>
      </w:r>
      <w:r w:rsidRPr="008F7BCB">
        <w:rPr>
          <w:rStyle w:val="af4"/>
          <w:noProof/>
        </w:rPr>
        <w:footnoteReference w:id="67"/>
      </w:r>
      <w:r w:rsidRPr="008F7BCB">
        <w:rPr>
          <w:rFonts w:hint="eastAsia"/>
          <w:noProof/>
        </w:rPr>
        <w:t>來比挍、難詰、訶責？」</w:t>
      </w:r>
    </w:p>
    <w:p w14:paraId="276362A9" w14:textId="3BCD7D6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</w:t>
      </w:r>
      <w:r w:rsidRPr="008F7BCB">
        <w:rPr>
          <w:rStyle w:val="af4"/>
          <w:noProof/>
        </w:rPr>
        <w:footnoteReference w:id="68"/>
      </w:r>
      <w:r>
        <w:rPr>
          <w:rStyle w:val="corr"/>
          <w:rFonts w:hint="eastAsia"/>
          <w:noProof/>
        </w:rPr>
        <w:t>目揵</w:t>
      </w:r>
      <w:r w:rsidRPr="008F7BCB">
        <w:rPr>
          <w:rFonts w:hint="eastAsia"/>
          <w:noProof/>
        </w:rPr>
        <w:t>連：「明、解脫果報福利，為人轉說者，不謗如來，不乖其理，法次法說，無有能來比挍、難詰、嫌責。」</w:t>
      </w:r>
    </w:p>
    <w:p w14:paraId="0BE57350" w14:textId="55505D9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縈髮目揵連白佛言：「瞿曇！諸弟子有法，修習多修習，令明、解脫福利滿足者不？」</w:t>
      </w:r>
    </w:p>
    <w:p w14:paraId="0578F2FC" w14:textId="072331C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佛告縈髮目犍連：「有七覺分，修習多修習，明、解脫福利滿足。」</w:t>
      </w:r>
    </w:p>
    <w:p w14:paraId="1BB23EB9" w14:textId="6C39D43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縈髮目揵連白佛言：「有法修習，能令七覺分滿足不？」</w:t>
      </w:r>
    </w:p>
    <w:p w14:paraId="29A92CF2" w14:textId="019041C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佛告縈髮目揵連：「有四念處，修習多修習，能令七覺分滿足。」</w:t>
      </w:r>
    </w:p>
    <w:p w14:paraId="09C135A4" w14:textId="1637BDC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縈髮目揵連白佛：「復有法修習多修習，令四念處滿足不？」</w:t>
      </w:r>
    </w:p>
    <w:p w14:paraId="7ECBE8FF" w14:textId="7377DF9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佛告縈髮目揵連：「有三妙行，修習多修習，能令四念處滿足。」</w:t>
      </w:r>
    </w:p>
    <w:p w14:paraId="59F43157" w14:textId="58C8C17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縈髮目揵連白佛言：「復有法修習多修習，令三妙行滿足不？」</w:t>
      </w:r>
    </w:p>
    <w:p w14:paraId="7F36700E" w14:textId="28B1BC62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佛告目揵連：「有六觸入處律儀，修習多修習，令三妙行滿足。」</w:t>
      </w:r>
    </w:p>
    <w:p w14:paraId="32D72329" w14:textId="4594B525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縈髮目揵連白佛言：「云何六觸入處律儀，修習多修習，令三妙行滿足？」</w:t>
      </w:r>
    </w:p>
    <w:p w14:paraId="1382A3EE" w14:textId="74F6397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目揵連：「若眼見適意、可愛念、能長養欲樂、令人緣著之色，彼比丘見已，不喜、不讚歎、不緣、不著、不住；若眼見不適意、不可愛念、順於苦覺之色，諸比丘見已，不畏、不惡、不嫌、不恚。於彼好色，起眼見已，永不緣著；不好色，起眼見已，永不緣著；內心安住不動，善修解脫，心不懈勌。耳、鼻、舌、身、意識法亦復如是。如是於六觸入修習多修習，滿足三妙行。</w:t>
      </w:r>
    </w:p>
    <w:p w14:paraId="4CDCB8F7" w14:textId="250748B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修三妙行，滿足四念處？多聞聖弟子於空閑處、林中、樹下，作如是學、如是思惟：『此身惡行，現世、後世必得惡報。我若行身惡行者，必當自生厭悔，他亦嫌薄，大師亦責，諸梵行者亦復以法而嫌我；惡名流布，遍於諸方，身壞命終，當墮地獄。於身惡行，見現世、後世如是果報，是故除身惡行，修身妙行，口、意惡行亦復如是。』是名修習三妙行已，得四念處清淨滿足。</w:t>
      </w:r>
    </w:p>
    <w:p w14:paraId="277F21E8" w14:textId="237DA79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「云何修四念處得七覺分滿足？目揵連！比丘如是順身身觀住，彼順身身觀住時，</w:t>
      </w:r>
      <w:r w:rsidRPr="008F7BCB">
        <w:rPr>
          <w:rStyle w:val="af4"/>
          <w:noProof/>
        </w:rPr>
        <w:footnoteReference w:id="69"/>
      </w:r>
      <w:r w:rsidRPr="008F7BCB">
        <w:rPr>
          <w:rFonts w:hint="eastAsia"/>
          <w:noProof/>
        </w:rPr>
        <w:t>攝念安住不忘。爾時，方便修習念覺分。方便修習念覺分已，得念覺分滿足，於彼心念選擇於法，覺想思量。爾時，方便修習擇法覺分。方便修習擇法覺分已，逮得擇法覺分滿足，選擇彼法，覺想思量，方便修習精進覺分。方便修習精進覺分已，逮得精進覺分滿足，勤精進已，生歡喜心。爾時，修習方便歡喜覺分。修習歡喜覺分已，逮得歡喜覺分滿足，心歡喜已，身心止息。爾時，修習猗息覺分。修習猗息覺分已，逮得猗息覺分滿足，身心息已，得三摩提。爾時，修習定覺分。修</w:t>
      </w:r>
      <w:r w:rsidRPr="008F7BCB">
        <w:rPr>
          <w:rStyle w:val="af4"/>
          <w:noProof/>
        </w:rPr>
        <w:footnoteReference w:id="70"/>
      </w:r>
      <w:r w:rsidRPr="008F7BCB">
        <w:rPr>
          <w:rFonts w:hint="eastAsia"/>
          <w:noProof/>
        </w:rPr>
        <w:t>習定覺分已，定覺分滿足，謂一其心，貪憂滅息，內</w:t>
      </w:r>
      <w:r w:rsidRPr="008F7BCB">
        <w:rPr>
          <w:rStyle w:val="af4"/>
          <w:noProof/>
        </w:rPr>
        <w:footnoteReference w:id="71"/>
      </w:r>
      <w:r>
        <w:rPr>
          <w:rStyle w:val="corr"/>
          <w:rFonts w:hint="eastAsia"/>
          <w:noProof/>
        </w:rPr>
        <w:t>心</w:t>
      </w:r>
      <w:r w:rsidRPr="008F7BCB">
        <w:rPr>
          <w:rFonts w:hint="eastAsia"/>
          <w:noProof/>
        </w:rPr>
        <w:t>行捨，方便修習捨覺分。方便修習捨覺分已，逮得捨覺分清淨滿足。受、心、法念處，亦如是說。如是修習四念處，七覺分滿足。</w:t>
      </w:r>
    </w:p>
    <w:p w14:paraId="5B472540" w14:textId="26922EA8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修習七覺分，明、解脫滿足？目揵連！若比丘修念覺分，依遠離、依離欲、依滅捨，於進趣修念覺分，逮得明、解脫清淨滿足。乃至修習捨覺分，亦如是說。是名修習七覺分已，明、解脫清淨滿足。如是，目揵連！法法相</w:t>
      </w:r>
      <w:r w:rsidRPr="008F7BCB">
        <w:rPr>
          <w:rStyle w:val="af4"/>
          <w:noProof/>
        </w:rPr>
        <w:footnoteReference w:id="72"/>
      </w:r>
      <w:r>
        <w:rPr>
          <w:rStyle w:val="corr"/>
          <w:rFonts w:hint="eastAsia"/>
          <w:noProof/>
        </w:rPr>
        <w:t>依</w:t>
      </w:r>
      <w:r w:rsidRPr="008F7BCB">
        <w:rPr>
          <w:rFonts w:hint="eastAsia"/>
          <w:noProof/>
        </w:rPr>
        <w:t>，從此岸而到彼岸。」</w:t>
      </w:r>
    </w:p>
    <w:p w14:paraId="261A2C80" w14:textId="5114B9B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說是法時，縈髮目揵連遠塵離垢，得法眼淨。時，縈髮目揵連見法、得法、知法、入法，度諸疑惑，不由於他，於諸法、律得無所畏。從座起，整衣服，為</w:t>
      </w:r>
      <w:r w:rsidRPr="008F7BCB">
        <w:rPr>
          <w:rFonts w:hint="eastAsia"/>
          <w:noProof/>
        </w:rPr>
        <w:lastRenderedPageBreak/>
        <w:t>佛作禮，合掌白佛言：「我今寧得於正法、律出家，得具足比丘分不？」</w:t>
      </w:r>
    </w:p>
    <w:p w14:paraId="4CFDEDEF" w14:textId="2325CE1E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佛告目揵連：「汝今已得於正法、律出家，具足得比丘分，得出家已，專精思惟，不放逸住，乃至成阿羅漢。」</w:t>
      </w:r>
    </w:p>
    <w:p w14:paraId="3199F2E2" w14:textId="7C611B8D" w:rsidR="008F7BCB" w:rsidRDefault="008F7BCB" w:rsidP="008F7BCB">
      <w:pPr>
        <w:pStyle w:val="2"/>
        <w:rPr>
          <w:noProof/>
        </w:rPr>
      </w:pPr>
      <w:r w:rsidRPr="008F7BCB">
        <w:rPr>
          <w:rStyle w:val="af4"/>
          <w:noProof/>
          <w:color w:val="auto"/>
        </w:rPr>
        <w:footnoteReference w:id="73"/>
      </w:r>
      <w:r w:rsidRPr="008F7BCB">
        <w:rPr>
          <w:rFonts w:hint="eastAsia"/>
          <w:noProof/>
        </w:rPr>
        <w:t>（二八二）</w:t>
      </w:r>
    </w:p>
    <w:p w14:paraId="5BF74FE0" w14:textId="346AFB7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如是我聞：</w:t>
      </w:r>
    </w:p>
    <w:p w14:paraId="5699327D" w14:textId="073CE46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一時，佛住</w:t>
      </w:r>
      <w:r w:rsidRPr="008F7BCB">
        <w:rPr>
          <w:rStyle w:val="af4"/>
          <w:noProof/>
        </w:rPr>
        <w:footnoteReference w:id="74"/>
      </w:r>
      <w:r w:rsidRPr="008F7BCB">
        <w:rPr>
          <w:rFonts w:hint="eastAsia"/>
          <w:noProof/>
        </w:rPr>
        <w:t>迦</w:t>
      </w:r>
      <w:r w:rsidRPr="008F7BCB">
        <w:rPr>
          <w:rStyle w:val="af4"/>
          <w:noProof/>
        </w:rPr>
        <w:footnoteReference w:id="75"/>
      </w:r>
      <w:r w:rsidRPr="008F7BCB">
        <w:rPr>
          <w:rFonts w:hint="eastAsia"/>
          <w:noProof/>
        </w:rPr>
        <w:t>微伽羅牟真隣陀林中。</w:t>
      </w:r>
    </w:p>
    <w:p w14:paraId="0ECDD9A6" w14:textId="4613592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時，有年少名</w:t>
      </w:r>
      <w:r w:rsidRPr="008F7BCB">
        <w:rPr>
          <w:rStyle w:val="af4"/>
          <w:noProof/>
        </w:rPr>
        <w:footnoteReference w:id="76"/>
      </w:r>
      <w:r w:rsidRPr="008F7BCB">
        <w:rPr>
          <w:rFonts w:hint="eastAsia"/>
          <w:noProof/>
        </w:rPr>
        <w:t>欝多羅，是</w:t>
      </w:r>
      <w:r w:rsidRPr="008F7BCB">
        <w:rPr>
          <w:rStyle w:val="af4"/>
          <w:noProof/>
        </w:rPr>
        <w:footnoteReference w:id="77"/>
      </w:r>
      <w:r w:rsidRPr="008F7BCB">
        <w:rPr>
          <w:rFonts w:hint="eastAsia"/>
          <w:noProof/>
        </w:rPr>
        <w:t>波羅奢那弟子，來詣佛所，恭敬問訊已，退坐一面。</w:t>
      </w:r>
    </w:p>
    <w:p w14:paraId="43E055B9" w14:textId="6F4EF751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爾時，世尊告欝多羅：「汝師波羅奢那為汝等說修諸根不？」</w:t>
      </w:r>
    </w:p>
    <w:p w14:paraId="49CFBF6C" w14:textId="4372BE5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欝多羅言：「說已，瞿曇！」</w:t>
      </w:r>
    </w:p>
    <w:p w14:paraId="5B3DD911" w14:textId="23FCAFE7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</w:t>
      </w:r>
      <w:r w:rsidRPr="008F7BCB">
        <w:rPr>
          <w:rStyle w:val="af4"/>
          <w:noProof/>
        </w:rPr>
        <w:footnoteReference w:id="78"/>
      </w:r>
      <w:r w:rsidRPr="008F7BCB">
        <w:rPr>
          <w:rFonts w:hint="eastAsia"/>
          <w:noProof/>
        </w:rPr>
        <w:t>告欝多羅：「汝師波羅奢那云何說修諸根？」</w:t>
      </w:r>
    </w:p>
    <w:p w14:paraId="5EBDAA60" w14:textId="2FF4EF6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欝多羅白佛言：「我師波羅奢那說，眼不見色，耳不聽聲，是</w:t>
      </w:r>
      <w:r w:rsidRPr="008F7BCB">
        <w:rPr>
          <w:rStyle w:val="af4"/>
          <w:noProof/>
        </w:rPr>
        <w:footnoteReference w:id="79"/>
      </w:r>
      <w:r w:rsidRPr="008F7BCB">
        <w:rPr>
          <w:rFonts w:hint="eastAsia"/>
          <w:noProof/>
        </w:rPr>
        <w:t>名修根。」</w:t>
      </w:r>
    </w:p>
    <w:p w14:paraId="6104674B" w14:textId="6291555A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佛告欝多羅：「若如汝波羅奢那說，盲者是修根不？所以者何？</w:t>
      </w:r>
      <w:r w:rsidRPr="008F7BCB">
        <w:rPr>
          <w:rStyle w:val="af4"/>
          <w:noProof/>
        </w:rPr>
        <w:footnoteReference w:id="80"/>
      </w:r>
      <w:r w:rsidRPr="008F7BCB">
        <w:rPr>
          <w:rFonts w:hint="eastAsia"/>
          <w:noProof/>
        </w:rPr>
        <w:t>如唯盲者眼不見色。」</w:t>
      </w:r>
    </w:p>
    <w:p w14:paraId="608DAD01" w14:textId="7C843F1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</w:t>
      </w:r>
      <w:r w:rsidRPr="008F7BCB">
        <w:rPr>
          <w:rStyle w:val="af4"/>
          <w:noProof/>
        </w:rPr>
        <w:footnoteReference w:id="81"/>
      </w:r>
      <w:r w:rsidRPr="008F7BCB">
        <w:rPr>
          <w:rFonts w:hint="eastAsia"/>
          <w:noProof/>
        </w:rPr>
        <w:t>時，尊者阿難在世尊後，執扇扇佛，尊者阿難語欝</w:t>
      </w:r>
      <w:r w:rsidRPr="008F7BCB">
        <w:rPr>
          <w:rStyle w:val="af4"/>
          <w:noProof/>
        </w:rPr>
        <w:footnoteReference w:id="82"/>
      </w:r>
      <w:r>
        <w:rPr>
          <w:rStyle w:val="corr"/>
          <w:rFonts w:hint="eastAsia"/>
          <w:noProof/>
        </w:rPr>
        <w:t>多羅</w:t>
      </w:r>
      <w:r w:rsidRPr="008F7BCB">
        <w:rPr>
          <w:rFonts w:hint="eastAsia"/>
          <w:noProof/>
        </w:rPr>
        <w:t>言：「如波羅奢那所說，聾者是修根不？所以者何？</w:t>
      </w:r>
      <w:r w:rsidRPr="008F7BCB">
        <w:rPr>
          <w:rStyle w:val="af4"/>
          <w:noProof/>
        </w:rPr>
        <w:footnoteReference w:id="83"/>
      </w:r>
      <w:r w:rsidRPr="008F7BCB">
        <w:rPr>
          <w:rFonts w:hint="eastAsia"/>
          <w:noProof/>
        </w:rPr>
        <w:t>如唯聾者耳不聞聲。」</w:t>
      </w:r>
    </w:p>
    <w:p w14:paraId="26ACFA9F" w14:textId="7875A76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爾時，世尊告尊者阿難：「異於賢聖法、律無上修諸根。」</w:t>
      </w:r>
    </w:p>
    <w:p w14:paraId="0B1B7946" w14:textId="54A3137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lastRenderedPageBreak/>
        <w:t>阿難白佛言：「唯願世尊為諸比丘說賢聖法、律無上修根，諸比丘聞已，當受奉行。」</w:t>
      </w:r>
    </w:p>
    <w:p w14:paraId="457DC69F" w14:textId="0F2EDDB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佛告阿難：「諦聽，善思，當為汝說。緣眼、色，生眼識，見可意色，欲修如來厭離正念正智。眼、色緣生眼識，不可意，</w:t>
      </w:r>
      <w:r w:rsidRPr="008F7BCB">
        <w:rPr>
          <w:rStyle w:val="af4"/>
          <w:noProof/>
        </w:rPr>
        <w:footnoteReference w:id="84"/>
      </w:r>
      <w:r>
        <w:rPr>
          <w:rStyle w:val="corr"/>
          <w:rFonts w:hint="eastAsia"/>
          <w:noProof/>
        </w:rPr>
        <w:t>欲</w:t>
      </w:r>
      <w:r w:rsidRPr="008F7BCB">
        <w:rPr>
          <w:rFonts w:hint="eastAsia"/>
          <w:noProof/>
        </w:rPr>
        <w:t>修如來不厭離正念正智，眼、色緣生眼識，可意、不可意，欲修如來厭離、不厭離正念正智。眼、色緣生眼識，不可意、可意，欲修如來不厭離、厭離正念正智。眼、色緣生眼識，可意、不可意、可不可意，欲修如來厭、不厭俱離捨心住正念正智。</w:t>
      </w:r>
    </w:p>
    <w:p w14:paraId="4EFC14B1" w14:textId="13FC0694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「如是，阿難！若有於此五句，心善調伏、善關閉、善守護、善攝持、善修習，是則於眼、色無上修根。耳、鼻、舌、身、意法亦如是說。阿難！是名賢聖法、律無上修根。」</w:t>
      </w:r>
    </w:p>
    <w:p w14:paraId="190FFDA1" w14:textId="46951A7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尊者阿難白佛言：「世尊！云何賢聖法、律為賢聖修根？」</w:t>
      </w:r>
    </w:p>
    <w:p w14:paraId="6BF2E286" w14:textId="6125BBC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阿難：「眼、色緣生眼識，生可意，生不可意，生可意不可意。彼聖弟子如是如實知：『我眼、色緣生眼識，生可意，生不可意，生可意不可意，此則寂滅，此則勝妙，所謂俱捨；得彼捨已，離厭、不厭。譬如</w:t>
      </w:r>
      <w:r w:rsidRPr="008F7BCB">
        <w:rPr>
          <w:rStyle w:val="af4"/>
          <w:noProof/>
        </w:rPr>
        <w:footnoteReference w:id="85"/>
      </w:r>
      <w:r w:rsidRPr="008F7BCB">
        <w:rPr>
          <w:rFonts w:hint="eastAsia"/>
          <w:noProof/>
        </w:rPr>
        <w:t>力</w:t>
      </w:r>
      <w:r w:rsidRPr="008F7BCB">
        <w:rPr>
          <w:rStyle w:val="af4"/>
          <w:noProof/>
        </w:rPr>
        <w:footnoteReference w:id="86"/>
      </w:r>
      <w:r w:rsidRPr="008F7BCB">
        <w:rPr>
          <w:rFonts w:hint="eastAsia"/>
          <w:noProof/>
        </w:rPr>
        <w:t>士</w:t>
      </w:r>
      <w:r w:rsidRPr="008F7BCB">
        <w:rPr>
          <w:rStyle w:val="af4"/>
          <w:noProof/>
        </w:rPr>
        <w:footnoteReference w:id="87"/>
      </w:r>
      <w:r w:rsidRPr="008F7BCB">
        <w:rPr>
          <w:rFonts w:hint="eastAsia"/>
          <w:noProof/>
        </w:rPr>
        <w:t>頃。如是眼、色緣生眼識生可意，生不可意，生可意不可意，俄爾盡滅，得離厭、不厭，捨。』</w:t>
      </w:r>
    </w:p>
    <w:p w14:paraId="49FC90DA" w14:textId="7FA2562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如是耳、聲緣生耳識，生可意，生不可意，生可意不可意。聖弟子如是如實知：『我耳識聞聲，生可意，生不可意，生可意不可意，此則寂滅、勝妙，所謂為捨；得捨已，離厭、不厭。譬如大力士夫彈指，發聲即滅。如是耳、聲緣生耳識，生可意，生不可意，生可意不可意，生已盡滅，是則為捨，得彼捨已，離厭、不厭。』</w:t>
      </w:r>
    </w:p>
    <w:p w14:paraId="1A0287E9" w14:textId="11CFF63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「鼻、香緣生鼻識，生可意，生不可意，生可意不可意。聖弟子如是如實知：『鼻、香緣生鼻識，生可意，生不可意，生可意不可意，此則寂滅，此則勝妙，所謂為捨；得彼捨已，離厭、不厭。譬如蓮</w:t>
      </w:r>
      <w:r w:rsidRPr="008F7BCB">
        <w:rPr>
          <w:rStyle w:val="af4"/>
          <w:noProof/>
        </w:rPr>
        <w:footnoteReference w:id="88"/>
      </w:r>
      <w:r w:rsidRPr="008F7BCB">
        <w:rPr>
          <w:rFonts w:hint="eastAsia"/>
          <w:noProof/>
        </w:rPr>
        <w:t>荷，水所不染。如是鼻、香緣生鼻識，生可意，生不可意，生可意不可意，生已盡滅，所謂為捨；得彼捨已，離厭、不厭。』</w:t>
      </w:r>
    </w:p>
    <w:p w14:paraId="5371E50A" w14:textId="7225E3D0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舌、味緣生舌識，生可意，生不可意，生可意不可意。彼聖弟子如是如實知：『舌、味緣生舌識，生可意，生不可意，生可意不可意，生已盡滅、寂滅、勝妙，所謂為捨；得彼捨已，離厭、不厭。譬如力士舌端唾</w:t>
      </w:r>
      <w:r w:rsidRPr="008F7BCB">
        <w:rPr>
          <w:rStyle w:val="af4"/>
          <w:noProof/>
        </w:rPr>
        <w:footnoteReference w:id="89"/>
      </w:r>
      <w:r w:rsidRPr="008F7BCB">
        <w:rPr>
          <w:rFonts w:hint="eastAsia"/>
          <w:noProof/>
        </w:rPr>
        <w:t>沫，盡唾令</w:t>
      </w:r>
      <w:r w:rsidRPr="008F7BCB">
        <w:rPr>
          <w:rFonts w:hint="eastAsia"/>
          <w:noProof/>
        </w:rPr>
        <w:lastRenderedPageBreak/>
        <w:t>滅。如是舌、味緣生舌識，生可意，生不可意，生可意不可意，生已盡滅，所謂為捨，得彼捨已，離厭、不厭。』</w:t>
      </w:r>
    </w:p>
    <w:p w14:paraId="4F05D0DF" w14:textId="32A18D1D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「身、觸緣生身識，生可意，生不可意，生可意不可意，生已盡滅。聖弟子如是如實知：『身、觸緣生身識，生可意，生不可意，生可意不可意，生已盡滅、寂滅、勝妙，所謂為捨；得彼捨已，離厭、不厭。譬</w:t>
      </w:r>
      <w:r w:rsidRPr="008F7BCB">
        <w:rPr>
          <w:rStyle w:val="af4"/>
          <w:noProof/>
        </w:rPr>
        <w:footnoteReference w:id="90"/>
      </w:r>
      <w:r w:rsidRPr="008F7BCB">
        <w:rPr>
          <w:rFonts w:hint="eastAsia"/>
          <w:noProof/>
        </w:rPr>
        <w:t>如鐵丸燒令極熱，小</w:t>
      </w:r>
      <w:r w:rsidRPr="008F7BCB">
        <w:rPr>
          <w:rStyle w:val="af4"/>
          <w:noProof/>
        </w:rPr>
        <w:footnoteReference w:id="91"/>
      </w:r>
      <w:r w:rsidRPr="008F7BCB">
        <w:rPr>
          <w:rFonts w:hint="eastAsia"/>
          <w:noProof/>
        </w:rPr>
        <w:t>渧水灑，尋即消滅。如是身、觸緣生身識，生可意，生不可意，生可意不可意，生已盡滅，所謂為捨，得彼捨已，離厭、不厭。』</w:t>
      </w:r>
    </w:p>
    <w:p w14:paraId="4732F8D1" w14:textId="7AAF5066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意、法緣生意識，生可意，生不可意，生可意不可意，生已速滅。聖弟子如是如實知：『意、法緣生意識，生可意，生不可意，生可意不可意，生已盡滅，是則寂滅，是則勝妙，所謂為捨；得彼捨已，離厭、不厭。譬如力士斷多羅樹頭。如是意、法緣生意識，生可意，生不可意，生可意不可意，生已盡滅，所謂為捨，得彼捨已，離厭、不厭。』阿難！是為賢聖法、律，為聖弟子修諸根。」</w:t>
      </w:r>
    </w:p>
    <w:p w14:paraId="174CA117" w14:textId="32AC421B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「云何為聖法、律</w:t>
      </w:r>
      <w:r w:rsidRPr="008F7BCB">
        <w:rPr>
          <w:rStyle w:val="af4"/>
          <w:noProof/>
        </w:rPr>
        <w:footnoteReference w:id="92"/>
      </w:r>
      <w:r>
        <w:rPr>
          <w:rStyle w:val="corr"/>
          <w:rFonts w:hint="eastAsia"/>
          <w:noProof/>
        </w:rPr>
        <w:t>學</w:t>
      </w:r>
      <w:r w:rsidRPr="008F7BCB">
        <w:rPr>
          <w:rFonts w:hint="eastAsia"/>
          <w:noProof/>
        </w:rPr>
        <w:t>見跡？」</w:t>
      </w:r>
    </w:p>
    <w:p w14:paraId="3BFA52D7" w14:textId="1570D2C3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佛告阿難：「眼、色緣生眼識，生可意，生不可意，生可意不可意，彼聖弟子慚恥厭惡。耳、鼻、舌、身、意法緣生意識，生可意，生不可意，生可意不可意，彼聖弟子慚恥厭惡。阿難！是名賢聖法、律</w:t>
      </w:r>
      <w:r w:rsidRPr="008F7BCB">
        <w:rPr>
          <w:rStyle w:val="af4"/>
          <w:noProof/>
        </w:rPr>
        <w:footnoteReference w:id="93"/>
      </w:r>
      <w:r>
        <w:rPr>
          <w:rStyle w:val="corr"/>
          <w:rFonts w:hint="eastAsia"/>
          <w:noProof/>
        </w:rPr>
        <w:t>學</w:t>
      </w:r>
      <w:r w:rsidRPr="008F7BCB">
        <w:rPr>
          <w:rFonts w:hint="eastAsia"/>
          <w:noProof/>
        </w:rPr>
        <w:t>見跡。阿難！是名賢聖法、律無上修諸根。已說賢聖修諸根，已說</w:t>
      </w:r>
      <w:r w:rsidRPr="008F7BCB">
        <w:rPr>
          <w:rStyle w:val="af4"/>
          <w:noProof/>
        </w:rPr>
        <w:footnoteReference w:id="94"/>
      </w:r>
      <w:r>
        <w:rPr>
          <w:rStyle w:val="corr"/>
          <w:rFonts w:hint="eastAsia"/>
          <w:noProof/>
        </w:rPr>
        <w:t>學</w:t>
      </w:r>
      <w:r w:rsidRPr="008F7BCB">
        <w:rPr>
          <w:rFonts w:hint="eastAsia"/>
          <w:noProof/>
        </w:rPr>
        <w:t>見跡。阿難！我為諸聲聞所作，所作已作，汝等當作所作……」廣說如篋毒蛇經。</w:t>
      </w:r>
    </w:p>
    <w:p w14:paraId="2E74CF68" w14:textId="24524B39" w:rsidR="008F7BCB" w:rsidRDefault="008F7BCB" w:rsidP="008F7BCB">
      <w:pPr>
        <w:pStyle w:val="default"/>
        <w:spacing w:before="180"/>
        <w:rPr>
          <w:noProof/>
        </w:rPr>
      </w:pPr>
      <w:r w:rsidRPr="008F7BCB">
        <w:rPr>
          <w:rFonts w:hint="eastAsia"/>
          <w:noProof/>
        </w:rPr>
        <w:t>佛說此經已，尊者阿難聞佛所說，歡喜奉行。</w:t>
      </w:r>
    </w:p>
    <w:p w14:paraId="6753773B" w14:textId="041C8F05" w:rsidR="008F7BCB" w:rsidRDefault="008F7BCB" w:rsidP="008F7BCB">
      <w:pPr>
        <w:pStyle w:val="juan"/>
        <w:spacing w:before="180"/>
        <w:rPr>
          <w:noProof/>
        </w:rPr>
      </w:pPr>
      <w:r w:rsidRPr="008F7BCB">
        <w:rPr>
          <w:rFonts w:hint="eastAsia"/>
          <w:noProof/>
        </w:rPr>
        <w:t>雜阿含經卷第十一</w:t>
      </w:r>
    </w:p>
    <w:p w14:paraId="719E5318" w14:textId="12CA7C58" w:rsidR="009E21F0" w:rsidRPr="008F7BCB" w:rsidRDefault="008F7BCB" w:rsidP="008F7BCB">
      <w:pPr>
        <w:pStyle w:val="license"/>
        <w:spacing w:before="180"/>
        <w:rPr>
          <w:noProof/>
        </w:rPr>
      </w:pPr>
      <w:r w:rsidRPr="008F7BCB">
        <w:rPr>
          <w:rFonts w:hint="eastAsia"/>
          <w:noProof/>
        </w:rPr>
        <w:t>【經文資訊】大正新脩大藏經</w:t>
      </w:r>
      <w:r w:rsidRPr="008F7BCB">
        <w:rPr>
          <w:rFonts w:hint="eastAsia"/>
          <w:noProof/>
        </w:rPr>
        <w:t xml:space="preserve"> </w:t>
      </w:r>
      <w:r w:rsidRPr="008F7BCB">
        <w:rPr>
          <w:rFonts w:hint="eastAsia"/>
          <w:noProof/>
        </w:rPr>
        <w:t>第</w:t>
      </w:r>
      <w:r w:rsidRPr="008F7BCB">
        <w:rPr>
          <w:rFonts w:hint="eastAsia"/>
          <w:noProof/>
        </w:rPr>
        <w:t xml:space="preserve"> 2 </w:t>
      </w:r>
      <w:r w:rsidRPr="008F7BCB">
        <w:rPr>
          <w:rFonts w:hint="eastAsia"/>
          <w:noProof/>
        </w:rPr>
        <w:t>冊</w:t>
      </w:r>
      <w:r w:rsidRPr="008F7BCB">
        <w:rPr>
          <w:rFonts w:hint="eastAsia"/>
          <w:noProof/>
        </w:rPr>
        <w:t xml:space="preserve"> No. 99 </w:t>
      </w:r>
      <w:r w:rsidRPr="008F7BCB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【版本記錄】發行日期：</w:t>
      </w:r>
      <w:r w:rsidRPr="008F7BCB">
        <w:rPr>
          <w:rFonts w:hint="eastAsia"/>
          <w:noProof/>
        </w:rPr>
        <w:t>2026-04</w:t>
      </w:r>
      <w:r w:rsidRPr="008F7BCB">
        <w:rPr>
          <w:rFonts w:hint="eastAsia"/>
          <w:noProof/>
        </w:rPr>
        <w:t>，最後更新：</w:t>
      </w:r>
      <w:r w:rsidRPr="008F7BCB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【編輯說明】本資料庫由</w:t>
      </w:r>
      <w:r w:rsidRPr="008F7BCB">
        <w:rPr>
          <w:rFonts w:hint="eastAsia"/>
          <w:noProof/>
        </w:rPr>
        <w:t xml:space="preserve"> </w:t>
      </w:r>
      <w:r w:rsidRPr="008F7BCB">
        <w:rPr>
          <w:rFonts w:hint="eastAsia"/>
          <w:noProof/>
        </w:rPr>
        <w:t>財團法人佛教電子佛典基金會（</w:t>
      </w:r>
      <w:r w:rsidRPr="008F7BCB">
        <w:rPr>
          <w:rFonts w:hint="eastAsia"/>
          <w:noProof/>
        </w:rPr>
        <w:t>CBETA</w:t>
      </w:r>
      <w:r w:rsidRPr="008F7BCB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【版權宣告】</w:t>
      </w:r>
      <w:r w:rsidRPr="008F7BCB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8F7BCB">
        <w:rPr>
          <w:rFonts w:hint="eastAsia"/>
          <w:noProof/>
        </w:rPr>
        <w:t>【製作說明】感謝志工黃訓慶先生將本佛典</w:t>
      </w:r>
      <w:r w:rsidR="001552F7">
        <w:rPr>
          <w:rFonts w:hint="eastAsia"/>
          <w:noProof/>
        </w:rPr>
        <w:t>轉換至</w:t>
      </w:r>
      <w:r w:rsidR="001552F7">
        <w:rPr>
          <w:rFonts w:hint="eastAsia"/>
          <w:noProof/>
        </w:rPr>
        <w:t xml:space="preserve"> DOCX </w:t>
      </w:r>
      <w:r w:rsidR="001552F7">
        <w:rPr>
          <w:rFonts w:hint="eastAsia"/>
          <w:noProof/>
        </w:rPr>
        <w:t>格式</w:t>
      </w:r>
      <w:r w:rsidRPr="008F7BCB">
        <w:rPr>
          <w:rFonts w:hint="eastAsia"/>
          <w:noProof/>
        </w:rPr>
        <w:t>。</w:t>
      </w:r>
    </w:p>
    <w:sectPr w:rsidR="009E21F0" w:rsidRPr="008F7B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249D9" w14:textId="77777777" w:rsidR="00C36AE1" w:rsidRDefault="00C36AE1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9C37BE8" w14:textId="77777777" w:rsidR="00C36AE1" w:rsidRDefault="00C36AE1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01194" w14:textId="77777777" w:rsidR="008F7BCB" w:rsidRDefault="008F7BCB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FABC5" w14:textId="0BCE0624" w:rsidR="008F7BCB" w:rsidRDefault="008F7BCB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18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65279" w14:textId="77777777" w:rsidR="008F7BCB" w:rsidRDefault="008F7BCB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FD7252" w14:textId="77777777" w:rsidR="00C36AE1" w:rsidRDefault="00C36AE1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0837527B" w14:textId="77777777" w:rsidR="00C36AE1" w:rsidRDefault="00C36AE1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6DB6DB0B" w14:textId="7E75567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異【大】，〔－〕【明】</w:t>
      </w:r>
    </w:p>
  </w:footnote>
  <w:footnote w:id="2">
    <w:p w14:paraId="32C3AF25" w14:textId="5C07244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內【大】，肉【宋】【元】【明】</w:t>
      </w:r>
    </w:p>
  </w:footnote>
  <w:footnote w:id="3">
    <w:p w14:paraId="6AFB7A3C" w14:textId="0CB9CE55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】【宋】【元】【明】，空【大】</w:t>
      </w:r>
      <w:r>
        <w:rPr>
          <w:noProof/>
        </w:rPr>
        <w:t xml:space="preserve"> (cf. QC057n0668_p0001b09)</w:t>
      </w:r>
    </w:p>
  </w:footnote>
  <w:footnote w:id="4">
    <w:p w14:paraId="3191B84C" w14:textId="0942F52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當【大】，當盡【宋】【元】【明】</w:t>
      </w:r>
    </w:p>
  </w:footnote>
  <w:footnote w:id="5">
    <w:p w14:paraId="4F8D26EE" w14:textId="5A39C905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棄【大】，〔－〕【宋】【元】【明】</w:t>
      </w:r>
    </w:p>
  </w:footnote>
  <w:footnote w:id="6">
    <w:p w14:paraId="0FA4D185" w14:textId="354F18D0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】，彼【大】</w:t>
      </w:r>
      <w:r>
        <w:rPr>
          <w:rFonts w:hint="eastAsia"/>
          <w:noProof/>
        </w:rPr>
        <w:t xml:space="preserve"> (cf. K18n0650_p0808b02)</w:t>
      </w:r>
    </w:p>
  </w:footnote>
  <w:footnote w:id="7">
    <w:p w14:paraId="2C10FDF6" w14:textId="240E1705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A. IX. 4. Nandaka.</w:t>
      </w:r>
      <w:r>
        <w:rPr>
          <w:rFonts w:hint="eastAsia"/>
          <w:noProof/>
        </w:rPr>
        <w:t>（難陀）</w:t>
      </w:r>
    </w:p>
  </w:footnote>
  <w:footnote w:id="8">
    <w:p w14:paraId="7D317549" w14:textId="3727477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住【大】，在【宋】【元】【明】</w:t>
      </w:r>
    </w:p>
  </w:footnote>
  <w:footnote w:id="9">
    <w:p w14:paraId="6BD7C413" w14:textId="6D672A9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大【大】，有大【元】【明】</w:t>
      </w:r>
    </w:p>
  </w:footnote>
  <w:footnote w:id="10">
    <w:p w14:paraId="796210CC" w14:textId="01D4CBC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政【大】，正【宋】【元】【明】</w:t>
      </w:r>
    </w:p>
  </w:footnote>
  <w:footnote w:id="11">
    <w:p w14:paraId="48BD260C" w14:textId="3270CFB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愛【大】，憂【房山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按：原「愛」，巴利本作「憂」（</w:t>
      </w:r>
      <w:r>
        <w:rPr>
          <w:noProof/>
        </w:rPr>
        <w:t>domanassā</w:t>
      </w:r>
      <w:r>
        <w:rPr>
          <w:rFonts w:hint="eastAsia"/>
          <w:noProof/>
        </w:rPr>
        <w:t>）但漢、巴文脈不等同，見</w:t>
      </w:r>
      <w:r>
        <w:rPr>
          <w:noProof/>
        </w:rPr>
        <w:t xml:space="preserve"> A. 8.9 (PTS 1899[1958]: IV 167)</w:t>
      </w:r>
      <w:r>
        <w:rPr>
          <w:rFonts w:hint="eastAsia"/>
          <w:noProof/>
        </w:rPr>
        <w:t>。）</w:t>
      </w:r>
    </w:p>
  </w:footnote>
  <w:footnote w:id="12">
    <w:p w14:paraId="0C7AC8BB" w14:textId="24BF90D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滅【大】，滅故【宋】【元】【明】</w:t>
      </w:r>
    </w:p>
  </w:footnote>
  <w:footnote w:id="13">
    <w:p w14:paraId="6053825A" w14:textId="5ABA871F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】，聞【大】＊，間【宋】＊【元】＊【明】＊</w:t>
      </w:r>
      <w:r>
        <w:rPr>
          <w:rFonts w:hint="eastAsia"/>
          <w:noProof/>
        </w:rPr>
        <w:t xml:space="preserve"> (cf. T02n0099_p0148b11)</w:t>
      </w:r>
    </w:p>
  </w:footnote>
  <w:footnote w:id="14">
    <w:p w14:paraId="604E1020" w14:textId="6A51636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】，獨【大】</w:t>
      </w:r>
      <w:r>
        <w:rPr>
          <w:rFonts w:hint="eastAsia"/>
          <w:noProof/>
        </w:rPr>
        <w:t xml:space="preserve"> (cf. T02n0099_p0148b11)</w:t>
      </w:r>
    </w:p>
  </w:footnote>
  <w:footnote w:id="15">
    <w:p w14:paraId="46FB6328" w14:textId="4001DE8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罪【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】，聞【大】＊，間【宋】＊【元】＊【明】＊</w:t>
      </w:r>
      <w:r>
        <w:rPr>
          <w:rFonts w:hint="eastAsia"/>
          <w:noProof/>
        </w:rPr>
        <w:t xml:space="preserve"> (cf. T02n0099_p0148b11)</w:t>
      </w:r>
    </w:p>
  </w:footnote>
  <w:footnote w:id="16">
    <w:p w14:paraId="487B407D" w14:textId="4EB35DDC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】，獨【大】</w:t>
      </w:r>
      <w:r>
        <w:rPr>
          <w:rFonts w:hint="eastAsia"/>
          <w:noProof/>
        </w:rPr>
        <w:t xml:space="preserve"> (cf. T02n0099_p0148b11)</w:t>
      </w:r>
    </w:p>
  </w:footnote>
  <w:footnote w:id="17">
    <w:p w14:paraId="5A66F618" w14:textId="7029DDCF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係【大】，繫【元】【明】</w:t>
      </w:r>
    </w:p>
  </w:footnote>
  <w:footnote w:id="18">
    <w:p w14:paraId="5D07F5B4" w14:textId="6366555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】【宋】【元】【明】，想【大】</w:t>
      </w:r>
      <w:r>
        <w:rPr>
          <w:rFonts w:hint="eastAsia"/>
          <w:noProof/>
        </w:rPr>
        <w:t xml:space="preserve"> (cf. QC057n0668_p0003a10)</w:t>
      </w:r>
    </w:p>
  </w:footnote>
  <w:footnote w:id="19">
    <w:p w14:paraId="1711EB45" w14:textId="22F60EA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】【宋】【元】【明】，集【大】</w:t>
      </w:r>
      <w:r>
        <w:rPr>
          <w:rFonts w:hint="eastAsia"/>
          <w:noProof/>
        </w:rPr>
        <w:t xml:space="preserve"> (cf. QC057n0668_p0003a12)</w:t>
      </w:r>
    </w:p>
  </w:footnote>
  <w:footnote w:id="20">
    <w:p w14:paraId="3249B59A" w14:textId="6F1F3917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愛【大】，憂【房山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】【元】【明】（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按：原「愛」，巴利本作「憂」（</w:t>
      </w:r>
      <w:r>
        <w:rPr>
          <w:noProof/>
        </w:rPr>
        <w:t>domanassā</w:t>
      </w:r>
      <w:r>
        <w:rPr>
          <w:rFonts w:hint="eastAsia"/>
          <w:noProof/>
        </w:rPr>
        <w:t>），但漢巴文脈不等同，見</w:t>
      </w:r>
      <w:r>
        <w:rPr>
          <w:noProof/>
        </w:rPr>
        <w:t xml:space="preserve"> A. 8.9 (PTS 1899[1958]: IV 167)</w:t>
      </w:r>
      <w:r>
        <w:rPr>
          <w:rFonts w:hint="eastAsia"/>
          <w:noProof/>
        </w:rPr>
        <w:t>。）</w:t>
      </w:r>
    </w:p>
  </w:footnote>
  <w:footnote w:id="21">
    <w:p w14:paraId="4874D734" w14:textId="2CC7C19C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】【宋】【元】【明】，心【大】</w:t>
      </w:r>
      <w:r>
        <w:rPr>
          <w:rFonts w:hint="eastAsia"/>
          <w:noProof/>
        </w:rPr>
        <w:t xml:space="preserve"> (cf. QC057n0668_p0003b01)</w:t>
      </w:r>
    </w:p>
  </w:footnote>
  <w:footnote w:id="22">
    <w:p w14:paraId="7E2D5D5E" w14:textId="388F480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146. Nandakovāda.</w:t>
      </w:r>
    </w:p>
  </w:footnote>
  <w:footnote w:id="23">
    <w:p w14:paraId="0F065875" w14:textId="67251577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阿【</w:t>
      </w:r>
      <w:r>
        <w:rPr>
          <w:noProof/>
        </w:rPr>
        <w:t>CB</w:t>
      </w:r>
      <w:r>
        <w:rPr>
          <w:rFonts w:hint="eastAsia"/>
          <w:noProof/>
        </w:rPr>
        <w:t>】【宋】【元】【明】，陀【大】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24">
    <w:p w14:paraId="4C70ECD3" w14:textId="0861AD2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吉離【</w:t>
      </w:r>
      <w:r>
        <w:rPr>
          <w:noProof/>
        </w:rPr>
        <w:t>CB</w:t>
      </w:r>
      <w:r>
        <w:rPr>
          <w:rFonts w:hint="eastAsia"/>
          <w:noProof/>
        </w:rPr>
        <w:t>】，告難【大】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25">
    <w:p w14:paraId="79CACDF6" w14:textId="62985E8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摩訶波闍波提</w:t>
      </w:r>
      <w:r>
        <w:rPr>
          <w:noProof/>
        </w:rPr>
        <w:t xml:space="preserve"> Mahāpajāpatī.</w:t>
      </w:r>
    </w:p>
  </w:footnote>
  <w:footnote w:id="26">
    <w:p w14:paraId="7F189FB0" w14:textId="7B72C06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邁【大】，遂【宋】【元】【明】</w:t>
      </w:r>
    </w:p>
  </w:footnote>
  <w:footnote w:id="27">
    <w:p w14:paraId="7FD6C433" w14:textId="7130DE9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難陀</w:t>
      </w:r>
      <w:r>
        <w:rPr>
          <w:rFonts w:hint="eastAsia"/>
          <w:noProof/>
        </w:rPr>
        <w:t xml:space="preserve"> Nandaka.</w:t>
      </w:r>
    </w:p>
  </w:footnote>
  <w:footnote w:id="28">
    <w:p w14:paraId="3FC260DA" w14:textId="079BAB2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梨【大】，黎【明】</w:t>
      </w:r>
    </w:p>
  </w:footnote>
  <w:footnote w:id="29">
    <w:p w14:paraId="44477823" w14:textId="16C58F3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坐【大】，座【宋】【元】【明】</w:t>
      </w:r>
    </w:p>
  </w:footnote>
  <w:footnote w:id="30">
    <w:p w14:paraId="3BBAF670" w14:textId="4071AFD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】，觸【大】</w:t>
      </w:r>
      <w:r>
        <w:rPr>
          <w:rFonts w:hint="eastAsia"/>
          <w:noProof/>
        </w:rPr>
        <w:t xml:space="preserve"> (cf. T02n0099_p0072c09; T02n0099_p0074b18; T02n0099_p0074c04)</w:t>
      </w:r>
    </w:p>
  </w:footnote>
  <w:footnote w:id="31">
    <w:p w14:paraId="3B011042" w14:textId="5FC1779D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亦【大】，〔－〕【宋】【元】【明】</w:t>
      </w:r>
    </w:p>
  </w:footnote>
  <w:footnote w:id="32">
    <w:p w14:paraId="0959CF06" w14:textId="679B53D6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法【大】＊，〔－〕【宋】＊【元】＊【明】＊</w:t>
      </w:r>
    </w:p>
  </w:footnote>
  <w:footnote w:id="33">
    <w:p w14:paraId="73FBC30E" w14:textId="261A42D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法【大】＊，〔－〕【宋】＊【元】＊【明】＊</w:t>
      </w:r>
    </w:p>
  </w:footnote>
  <w:footnote w:id="34">
    <w:p w14:paraId="74A1046A" w14:textId="47B2F88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莖【大】＊，莖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榦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木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禾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【宋】＊【元】＊【明】＊</w:t>
      </w:r>
    </w:p>
  </w:footnote>
  <w:footnote w:id="35">
    <w:p w14:paraId="7B0FAC19" w14:textId="5817C86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莖【大】＊，莖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榦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木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禾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【宋】＊【元】＊【明】＊</w:t>
      </w:r>
    </w:p>
  </w:footnote>
  <w:footnote w:id="36">
    <w:p w14:paraId="32AA3EF1" w14:textId="752BB74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莖【大】＊，莖</w:t>
      </w:r>
      <w:r>
        <w:rPr>
          <w:rFonts w:hint="eastAsia"/>
          <w:noProof/>
        </w:rPr>
        <w:t>[</w:t>
      </w:r>
      <w:r>
        <w:rPr>
          <w:rFonts w:hint="eastAsia"/>
          <w:noProof/>
        </w:rPr>
        <w:t>榦</w:t>
      </w:r>
      <w:r>
        <w:rPr>
          <w:rFonts w:hint="eastAsia"/>
          <w:noProof/>
        </w:rPr>
        <w:t>-</w:t>
      </w:r>
      <w:r>
        <w:rPr>
          <w:rFonts w:hint="eastAsia"/>
          <w:noProof/>
        </w:rPr>
        <w:t>木</w:t>
      </w:r>
      <w:r>
        <w:rPr>
          <w:rFonts w:hint="eastAsia"/>
          <w:noProof/>
        </w:rPr>
        <w:t>+</w:t>
      </w:r>
      <w:r>
        <w:rPr>
          <w:rFonts w:hint="eastAsia"/>
          <w:noProof/>
        </w:rPr>
        <w:t>禾</w:t>
      </w:r>
      <w:r>
        <w:rPr>
          <w:rFonts w:hint="eastAsia"/>
          <w:noProof/>
        </w:rPr>
        <w:t>]</w:t>
      </w:r>
      <w:r>
        <w:rPr>
          <w:rFonts w:hint="eastAsia"/>
          <w:noProof/>
        </w:rPr>
        <w:t>【宋】＊【元】＊【明】＊</w:t>
      </w:r>
    </w:p>
  </w:footnote>
  <w:footnote w:id="37">
    <w:p w14:paraId="40AD2041" w14:textId="117EABC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處【大】，〔－〕【宋】【元】【明】</w:t>
      </w:r>
    </w:p>
  </w:footnote>
  <w:footnote w:id="38">
    <w:p w14:paraId="6EF683B4" w14:textId="6AE5326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】【房山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】【宋】【元】【明】，樂【大】</w:t>
      </w:r>
      <w:r>
        <w:rPr>
          <w:rFonts w:hint="eastAsia"/>
          <w:noProof/>
        </w:rPr>
        <w:t xml:space="preserve"> (cf. F23n0741_p0110a07; QC057n0668_p0007a06; M. 146 (PTS 1899[1951]: III 274))</w:t>
      </w:r>
    </w:p>
  </w:footnote>
  <w:footnote w:id="39">
    <w:p w14:paraId="5E2825CD" w14:textId="3A3914E6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法緣【大】，緣法【宋】【元】【明】</w:t>
      </w:r>
    </w:p>
  </w:footnote>
  <w:footnote w:id="40">
    <w:p w14:paraId="35FB92E3" w14:textId="2229AB1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枝【大】，肢【元】【明】</w:t>
      </w:r>
    </w:p>
  </w:footnote>
  <w:footnote w:id="41">
    <w:p w14:paraId="0832D8BC" w14:textId="3D8944B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枝【大】，肢【宋】【元】【明】</w:t>
      </w:r>
    </w:p>
  </w:footnote>
  <w:footnote w:id="42">
    <w:p w14:paraId="40A64C29" w14:textId="0DAF051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往【大】，住【明】</w:t>
      </w:r>
    </w:p>
  </w:footnote>
  <w:footnote w:id="43">
    <w:p w14:paraId="0465A041" w14:textId="0FBFA9B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受【大】，授【明】</w:t>
      </w:r>
    </w:p>
  </w:footnote>
  <w:footnote w:id="44">
    <w:p w14:paraId="1683D35F" w14:textId="08F8637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97. Pamādavihāri</w:t>
      </w:r>
      <w:r>
        <w:rPr>
          <w:rFonts w:hint="eastAsia"/>
          <w:noProof/>
        </w:rPr>
        <w:t>，</w:t>
      </w:r>
      <w:r>
        <w:rPr>
          <w:noProof/>
        </w:rPr>
        <w:t>[No. 107]</w:t>
      </w:r>
    </w:p>
  </w:footnote>
  <w:footnote w:id="45">
    <w:p w14:paraId="5A596EC3" w14:textId="5F15B8B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識【大】，〔－〕【宋】【元】【明】</w:t>
      </w:r>
    </w:p>
  </w:footnote>
  <w:footnote w:id="46">
    <w:p w14:paraId="66329A6F" w14:textId="1D8CBC55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更【大】，受【元】【明】</w:t>
      </w:r>
    </w:p>
  </w:footnote>
  <w:footnote w:id="47">
    <w:p w14:paraId="03B2413C" w14:textId="5E1F183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96. Parihāna.</w:t>
      </w:r>
      <w:r>
        <w:rPr>
          <w:rFonts w:hint="eastAsia"/>
          <w:noProof/>
        </w:rPr>
        <w:t>（退）</w:t>
      </w:r>
    </w:p>
  </w:footnote>
  <w:footnote w:id="48">
    <w:p w14:paraId="20ABE33E" w14:textId="58214967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】，觸【大】</w:t>
      </w:r>
      <w:r>
        <w:rPr>
          <w:rFonts w:hint="eastAsia"/>
          <w:noProof/>
        </w:rPr>
        <w:t xml:space="preserve"> (cf. T02n0099_p0076a13-16; S. 35.96 (PTS 2014: 77))</w:t>
      </w:r>
    </w:p>
  </w:footnote>
  <w:footnote w:id="49">
    <w:p w14:paraId="14B5EDC9" w14:textId="04A359AC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】，不【大】</w:t>
      </w:r>
      <w:r>
        <w:rPr>
          <w:noProof/>
        </w:rPr>
        <w:t xml:space="preserve"> (cf. </w:t>
      </w:r>
      <w:r>
        <w:rPr>
          <w:rFonts w:hint="eastAsia"/>
          <w:noProof/>
        </w:rPr>
        <w:t>溫宗堃與蘇錦坤：五十卷本《雜阿含經》字句斠勘</w:t>
      </w:r>
      <w:r>
        <w:rPr>
          <w:noProof/>
        </w:rPr>
        <w:t>)</w:t>
      </w:r>
    </w:p>
  </w:footnote>
  <w:footnote w:id="50">
    <w:p w14:paraId="646A2B1F" w14:textId="1AD1E5F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瞋恚【大】，恚瞋【宋】【元】【明】</w:t>
      </w:r>
    </w:p>
  </w:footnote>
  <w:footnote w:id="51">
    <w:p w14:paraId="5ADCC1E7" w14:textId="0DF2695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35. 94. Sa</w:t>
      </w:r>
      <w:r>
        <w:rPr>
          <w:rFonts w:ascii="Cambria" w:hAnsi="Cambria" w:cs="Cambria"/>
          <w:noProof/>
        </w:rPr>
        <w:t>ṃ</w:t>
      </w:r>
      <w:r>
        <w:rPr>
          <w:noProof/>
        </w:rPr>
        <w:t>gayha.</w:t>
      </w:r>
    </w:p>
  </w:footnote>
  <w:footnote w:id="52">
    <w:p w14:paraId="62853A04" w14:textId="05FEC6E6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】【宋】【元】【明】＊</w:t>
      </w:r>
    </w:p>
  </w:footnote>
  <w:footnote w:id="53">
    <w:p w14:paraId="4952D8A1" w14:textId="108B1E2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根【大】，〔－〕【宋】【元】【明】</w:t>
      </w:r>
    </w:p>
  </w:footnote>
  <w:footnote w:id="54">
    <w:p w14:paraId="4405248F" w14:textId="74A2BE2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愛【大】＊，憂【磧乙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】【宋】【元】【明】＊</w:t>
      </w:r>
    </w:p>
  </w:footnote>
  <w:footnote w:id="55">
    <w:p w14:paraId="2B0E2F54" w14:textId="3896AD7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如是【大】，是名【宋】【元】【明】</w:t>
      </w:r>
    </w:p>
  </w:footnote>
  <w:footnote w:id="56">
    <w:p w14:paraId="5E861E62" w14:textId="286666EC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150. Nagaravindeyya.</w:t>
      </w:r>
    </w:p>
  </w:footnote>
  <w:footnote w:id="57">
    <w:p w14:paraId="6619631F" w14:textId="18FA2B5B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拘薩羅</w:t>
      </w:r>
      <w:r>
        <w:rPr>
          <w:rFonts w:hint="eastAsia"/>
          <w:noProof/>
        </w:rPr>
        <w:t xml:space="preserve"> Kosala.</w:t>
      </w:r>
    </w:p>
  </w:footnote>
  <w:footnote w:id="58">
    <w:p w14:paraId="0FE28729" w14:textId="60FDFFEF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頻頭城</w:t>
      </w:r>
      <w:r>
        <w:rPr>
          <w:rFonts w:hint="eastAsia"/>
          <w:noProof/>
        </w:rPr>
        <w:t xml:space="preserve"> Nagaravinda.</w:t>
      </w:r>
    </w:p>
  </w:footnote>
  <w:footnote w:id="59">
    <w:p w14:paraId="2C0D48E6" w14:textId="441ED4A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所【大】，行【元】【明】</w:t>
      </w:r>
    </w:p>
  </w:footnote>
  <w:footnote w:id="60">
    <w:p w14:paraId="3C289BD8" w14:textId="1E04B560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應【大】，〔－〕【宋】【元】【明】</w:t>
      </w:r>
    </w:p>
  </w:footnote>
  <w:footnote w:id="61">
    <w:p w14:paraId="23EC7AD0" w14:textId="1A44837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不【大】，不行【元】【明】</w:t>
      </w:r>
    </w:p>
  </w:footnote>
  <w:footnote w:id="62">
    <w:p w14:paraId="10636D0E" w14:textId="627CDF9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眼【大】，〔－〕【宋】【元】【明】</w:t>
      </w:r>
    </w:p>
  </w:footnote>
  <w:footnote w:id="63">
    <w:p w14:paraId="09FCBBCE" w14:textId="6604465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】，門【大】</w:t>
      </w:r>
      <w:r>
        <w:rPr>
          <w:rFonts w:hint="eastAsia"/>
          <w:noProof/>
        </w:rPr>
        <w:t xml:space="preserve"> (cf. K18n0650_p0813c08; T02n0099_p0077a18)</w:t>
      </w:r>
    </w:p>
  </w:footnote>
  <w:footnote w:id="64">
    <w:p w14:paraId="7E991CD5" w14:textId="226A5F2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在【大】，住【元】【明】</w:t>
      </w:r>
    </w:p>
  </w:footnote>
  <w:footnote w:id="65">
    <w:p w14:paraId="7529F836" w14:textId="4CDAE86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試【大】，拭【明】</w:t>
      </w:r>
    </w:p>
  </w:footnote>
  <w:footnote w:id="66">
    <w:p w14:paraId="1AD3BD23" w14:textId="01C7B3EA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迭【大】，遞【宋】【元】【明】</w:t>
      </w:r>
    </w:p>
  </w:footnote>
  <w:footnote w:id="67">
    <w:p w14:paraId="18D84761" w14:textId="41213B2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來【大】，求【宋】</w:t>
      </w:r>
    </w:p>
  </w:footnote>
  <w:footnote w:id="68">
    <w:p w14:paraId="52A96524" w14:textId="5CE1017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目揵【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】【宋】【元】【明】，目【大】</w:t>
      </w:r>
      <w:r>
        <w:rPr>
          <w:rFonts w:hint="eastAsia"/>
          <w:noProof/>
        </w:rPr>
        <w:t xml:space="preserve"> (cf. QC057n0668_p0012a04)</w:t>
      </w:r>
    </w:p>
  </w:footnote>
  <w:footnote w:id="69">
    <w:p w14:paraId="150C6454" w14:textId="173FF309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攝【大】，繫【宋】【元】【明】</w:t>
      </w:r>
    </w:p>
  </w:footnote>
  <w:footnote w:id="70">
    <w:p w14:paraId="192A3047" w14:textId="2210FB3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習【大】，息【明】</w:t>
      </w:r>
    </w:p>
  </w:footnote>
  <w:footnote w:id="71">
    <w:p w14:paraId="254E89BB" w14:textId="4E04D39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】，身【大】</w:t>
      </w:r>
      <w:r>
        <w:rPr>
          <w:rFonts w:hint="eastAsia"/>
          <w:noProof/>
        </w:rPr>
        <w:t xml:space="preserve"> (cf. K18n0650_p0815a07; QC057n0668_p0013a12)</w:t>
      </w:r>
    </w:p>
  </w:footnote>
  <w:footnote w:id="72">
    <w:p w14:paraId="719B6FBF" w14:textId="55EA145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依【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】【元】【明】，律【大】</w:t>
      </w:r>
      <w:r>
        <w:rPr>
          <w:rFonts w:hint="eastAsia"/>
          <w:noProof/>
        </w:rPr>
        <w:t xml:space="preserve"> (cf. QC057n0668_p0013b02)</w:t>
      </w:r>
    </w:p>
  </w:footnote>
  <w:footnote w:id="73">
    <w:p w14:paraId="4BFCC94A" w14:textId="2B12BD7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152. Indriyabhāvanā.</w:t>
      </w:r>
    </w:p>
  </w:footnote>
  <w:footnote w:id="74">
    <w:p w14:paraId="49EE8781" w14:textId="2DCD7C27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迦微伽羅牟真隣陀</w:t>
      </w:r>
      <w:r>
        <w:rPr>
          <w:noProof/>
        </w:rPr>
        <w:t xml:space="preserve"> Kaja</w:t>
      </w:r>
      <w:r>
        <w:rPr>
          <w:rFonts w:ascii="Cambria" w:hAnsi="Cambria" w:cs="Cambria"/>
          <w:noProof/>
        </w:rPr>
        <w:t>ṅ</w:t>
      </w:r>
      <w:r>
        <w:rPr>
          <w:noProof/>
        </w:rPr>
        <w:t>gala Mukhelu.</w:t>
      </w:r>
    </w:p>
  </w:footnote>
  <w:footnote w:id="75">
    <w:p w14:paraId="4E76833A" w14:textId="2BEE94AF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微【大】，徵【宋】【元】【明】</w:t>
      </w:r>
    </w:p>
  </w:footnote>
  <w:footnote w:id="76">
    <w:p w14:paraId="57846949" w14:textId="73C397E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欝多羅</w:t>
      </w:r>
      <w:r>
        <w:rPr>
          <w:noProof/>
        </w:rPr>
        <w:t xml:space="preserve"> Uttara.</w:t>
      </w:r>
    </w:p>
  </w:footnote>
  <w:footnote w:id="77">
    <w:p w14:paraId="1B23F0BC" w14:textId="0B03988E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波羅奢那</w:t>
      </w:r>
      <w:r>
        <w:rPr>
          <w:noProof/>
        </w:rPr>
        <w:t xml:space="preserve"> Pārāsariya.</w:t>
      </w:r>
    </w:p>
  </w:footnote>
  <w:footnote w:id="78">
    <w:p w14:paraId="4873C455" w14:textId="15A711B7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告【大】，言【宋】【元】【明】</w:t>
      </w:r>
    </w:p>
  </w:footnote>
  <w:footnote w:id="79">
    <w:p w14:paraId="38E4D6C6" w14:textId="52755B2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名【大】，為【宋】【元】【明】</w:t>
      </w:r>
    </w:p>
  </w:footnote>
  <w:footnote w:id="80">
    <w:p w14:paraId="012BB16C" w14:textId="751C75E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如【大】＊，〔－〕【房山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】【宋】【元】【明】＊（</w:t>
      </w:r>
      <w:r>
        <w:rPr>
          <w:noProof/>
        </w:rPr>
        <w:t xml:space="preserve">CBETA  </w:t>
      </w:r>
      <w:r>
        <w:rPr>
          <w:rFonts w:hint="eastAsia"/>
          <w:noProof/>
        </w:rPr>
        <w:t>按：「如」，疑衍。石經、磧砂無。另參考巴利經</w:t>
      </w:r>
      <w:r>
        <w:rPr>
          <w:noProof/>
        </w:rPr>
        <w:t xml:space="preserve"> M. 152 (PTS 1899[1951]: 298) Andho hi, uttara, cakkhunā rūpa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na passati</w:t>
      </w:r>
      <w:r>
        <w:rPr>
          <w:rFonts w:hint="eastAsia"/>
          <w:noProof/>
        </w:rPr>
        <w:t>。）</w:t>
      </w:r>
    </w:p>
  </w:footnote>
  <w:footnote w:id="81">
    <w:p w14:paraId="1C1E6DBD" w14:textId="6018003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時【大】，等【明】</w:t>
      </w:r>
    </w:p>
  </w:footnote>
  <w:footnote w:id="82">
    <w:p w14:paraId="2AC0C8C5" w14:textId="4E66A6C8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多羅【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】【宋】【元】【明】，多【大】</w:t>
      </w:r>
      <w:r>
        <w:rPr>
          <w:rFonts w:hint="eastAsia"/>
          <w:noProof/>
        </w:rPr>
        <w:t xml:space="preserve"> (cf. QC057n0668_p0014a01)</w:t>
      </w:r>
    </w:p>
  </w:footnote>
  <w:footnote w:id="83">
    <w:p w14:paraId="12425CE0" w14:textId="428BA53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如【大】，〔－〕【房山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】（</w:t>
      </w:r>
      <w:r>
        <w:rPr>
          <w:noProof/>
        </w:rPr>
        <w:t xml:space="preserve">CBETA  </w:t>
      </w:r>
      <w:r>
        <w:rPr>
          <w:rFonts w:hint="eastAsia"/>
          <w:noProof/>
        </w:rPr>
        <w:t>按：「如」，疑衍。石經、磧砂無。另參考巴利經</w:t>
      </w:r>
      <w:r>
        <w:rPr>
          <w:noProof/>
        </w:rPr>
        <w:t xml:space="preserve"> M. 152 (PTS 1899[1951]: 298) ...hi...badhiro sotena sadda</w:t>
      </w:r>
      <w:r>
        <w:rPr>
          <w:rFonts w:ascii="Cambria" w:hAnsi="Cambria" w:cs="Cambria"/>
          <w:noProof/>
        </w:rPr>
        <w:t>ṃ</w:t>
      </w:r>
      <w:r>
        <w:rPr>
          <w:noProof/>
        </w:rPr>
        <w:t xml:space="preserve"> na su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āti</w:t>
      </w:r>
      <w:r>
        <w:rPr>
          <w:rFonts w:hint="eastAsia"/>
          <w:noProof/>
        </w:rPr>
        <w:t>。）</w:t>
      </w:r>
    </w:p>
  </w:footnote>
  <w:footnote w:id="84">
    <w:p w14:paraId="18F021C2" w14:textId="52EB3CA0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】，故【大】</w:t>
      </w:r>
      <w:r>
        <w:rPr>
          <w:rFonts w:hint="eastAsia"/>
          <w:noProof/>
        </w:rPr>
        <w:t xml:space="preserve"> (cf. T02n0099_p0078b09-17; M. 152 (PTS 1899[1951]: 301))</w:t>
      </w:r>
    </w:p>
  </w:footnote>
  <w:footnote w:id="85">
    <w:p w14:paraId="4629DABA" w14:textId="57DBF9C4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CBETA </w:t>
      </w:r>
      <w:r>
        <w:rPr>
          <w:rFonts w:hint="eastAsia"/>
          <w:noProof/>
        </w:rPr>
        <w:t>按：「力士頃」三字，巴利本</w:t>
      </w:r>
      <w:r>
        <w:rPr>
          <w:noProof/>
        </w:rPr>
        <w:t xml:space="preserve"> M. 152 (PTS : III 299) </w:t>
      </w:r>
      <w:r>
        <w:rPr>
          <w:rFonts w:hint="eastAsia"/>
          <w:noProof/>
        </w:rPr>
        <w:t>另作</w:t>
      </w:r>
      <w:r>
        <w:rPr>
          <w:noProof/>
        </w:rPr>
        <w:t xml:space="preserve"> cakkhumā puriso ummīletvā vā nimīleyya nimīletvā vā ummīleyya</w:t>
      </w:r>
      <w:r>
        <w:rPr>
          <w:rFonts w:hint="eastAsia"/>
          <w:noProof/>
        </w:rPr>
        <w:t>。</w:t>
      </w:r>
    </w:p>
  </w:footnote>
  <w:footnote w:id="86">
    <w:p w14:paraId="45AE264B" w14:textId="5268AF00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士【大】，士彈指【磧乙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87">
    <w:p w14:paraId="73874CEF" w14:textId="3E4C3E9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頃【大】，頃滅【磧乙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</w:t>
      </w:r>
    </w:p>
  </w:footnote>
  <w:footnote w:id="88">
    <w:p w14:paraId="1CCB6EEB" w14:textId="1D7C440F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荷【大】，華【宋】【元】【明】</w:t>
      </w:r>
    </w:p>
  </w:footnote>
  <w:footnote w:id="89">
    <w:p w14:paraId="46147DEE" w14:textId="72706952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沫【大】，味【元】【明】</w:t>
      </w:r>
    </w:p>
  </w:footnote>
  <w:footnote w:id="90">
    <w:p w14:paraId="3B361639" w14:textId="582C9476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如【大】，令【明】</w:t>
      </w:r>
    </w:p>
  </w:footnote>
  <w:footnote w:id="91">
    <w:p w14:paraId="5762554F" w14:textId="7F1DA9D0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渧【大】，滴【宋】【元】【明】</w:t>
      </w:r>
    </w:p>
  </w:footnote>
  <w:footnote w:id="92">
    <w:p w14:paraId="6F57080E" w14:textId="4442D7D1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】【房山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】，覺【大】</w:t>
      </w:r>
      <w:r>
        <w:rPr>
          <w:rFonts w:hint="eastAsia"/>
          <w:noProof/>
        </w:rPr>
        <w:t xml:space="preserve"> (cf. F23n0741_p0115b17; M. 152 (PTS 1899[1951]: 300))</w:t>
      </w:r>
    </w:p>
  </w:footnote>
  <w:footnote w:id="93">
    <w:p w14:paraId="1C93D16D" w14:textId="7E86AA83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】【房山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】，覺【大】</w:t>
      </w:r>
      <w:r>
        <w:rPr>
          <w:rFonts w:hint="eastAsia"/>
          <w:noProof/>
        </w:rPr>
        <w:t xml:space="preserve"> (cf. F23n0741_p0115b21; M. 152 (PTS 1899[1951]: 301))</w:t>
      </w:r>
    </w:p>
  </w:footnote>
  <w:footnote w:id="94">
    <w:p w14:paraId="56A3098A" w14:textId="62339E1B" w:rsidR="008F7BCB" w:rsidRDefault="008F7BCB" w:rsidP="008F7BCB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學【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】【房山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】，覺【大】</w:t>
      </w:r>
      <w:r>
        <w:rPr>
          <w:rFonts w:hint="eastAsia"/>
          <w:noProof/>
        </w:rPr>
        <w:t xml:space="preserve"> (cf. F23n0741_p0115b22; M. 152 (PTS 1899[1951]: 300-301))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20F2C" w14:textId="77777777" w:rsidR="008F7BCB" w:rsidRDefault="008F7BCB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CA1387" w14:textId="77777777" w:rsidR="008F7BCB" w:rsidRDefault="008F7BCB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F2F94" w14:textId="77777777" w:rsidR="008F7BCB" w:rsidRDefault="008F7BCB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BCB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552F7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8F7BCB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36AE1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31D05"/>
  <w15:chartTrackingRefBased/>
  <w15:docId w15:val="{DA6F42C9-D109-4EA5-A00A-EE3CCEDA2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8F7BC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8F7BCB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F7BCB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7BCB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F7BC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F7BCB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F7BCB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F7BCB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F7BCB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8F7BC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8F7BCB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8F7BCB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8F7B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8F7BCB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8F7BCB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8F7BCB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8F7BCB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8F7BCB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8F7BCB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8F7BCB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8F7BCB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8F7BC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8F7BC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8F7BCB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8F7BCB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8F7BCB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8F7B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8F7BCB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8F7BCB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8F7BCB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8F7BCB"/>
    <w:rPr>
      <w:kern w:val="0"/>
    </w:rPr>
  </w:style>
  <w:style w:type="paragraph" w:customStyle="1" w:styleId="footnote">
    <w:name w:val="footnote"/>
    <w:basedOn w:val="af2"/>
    <w:link w:val="footnote0"/>
    <w:autoRedefine/>
    <w:rsid w:val="008F7BCB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8F7BCB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8F7BCB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8F7BCB"/>
    <w:rPr>
      <w:sz w:val="20"/>
      <w:szCs w:val="20"/>
    </w:rPr>
  </w:style>
  <w:style w:type="paragraph" w:customStyle="1" w:styleId="juan">
    <w:name w:val="juan"/>
    <w:link w:val="juan0"/>
    <w:rsid w:val="008F7BCB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8F7BCB"/>
    <w:rPr>
      <w:color w:val="0000FF"/>
      <w:kern w:val="0"/>
      <w:sz w:val="28"/>
    </w:rPr>
  </w:style>
  <w:style w:type="paragraph" w:customStyle="1" w:styleId="byline">
    <w:name w:val="byline"/>
    <w:link w:val="byline0"/>
    <w:rsid w:val="008F7BCB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8F7BCB"/>
    <w:rPr>
      <w:color w:val="408080"/>
      <w:kern w:val="0"/>
      <w:sz w:val="28"/>
    </w:rPr>
  </w:style>
  <w:style w:type="paragraph" w:customStyle="1" w:styleId="lg">
    <w:name w:val="lg"/>
    <w:link w:val="lg0"/>
    <w:rsid w:val="008F7BCB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8F7BCB"/>
    <w:rPr>
      <w:color w:val="008040"/>
      <w:kern w:val="0"/>
    </w:rPr>
  </w:style>
  <w:style w:type="paragraph" w:customStyle="1" w:styleId="license">
    <w:name w:val="license"/>
    <w:link w:val="license0"/>
    <w:rsid w:val="008F7BCB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8F7BCB"/>
    <w:rPr>
      <w:kern w:val="0"/>
      <w:shd w:val="clear" w:color="auto" w:fill="F0F0F0"/>
    </w:rPr>
  </w:style>
  <w:style w:type="character" w:customStyle="1" w:styleId="corr">
    <w:name w:val="corr"/>
    <w:basedOn w:val="a0"/>
    <w:rsid w:val="008F7BCB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8F7BC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5995</Words>
  <Characters>6055</Characters>
  <Application>Microsoft Office Word</Application>
  <DocSecurity>0</DocSecurity>
  <Lines>242</Lines>
  <Paragraphs>197</Paragraphs>
  <ScaleCrop>false</ScaleCrop>
  <Company/>
  <LinksUpToDate>false</LinksUpToDate>
  <CharactersWithSpaces>11853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2026-04-18T11:05:00Z</dcterms:created>
  <dcterms:modified xsi:type="dcterms:W3CDTF">2026-04-18T11:05:00Z</dcterms:modified>
</cp:coreProperties>
</file>